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13.100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50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fr-FR"/>
        </w:rPr>
        <w:t>4</w:t>
      </w:r>
      <w:r>
        <w:rPr>
          <w:rFonts w:hint="eastAsia"/>
        </w:rPr>
        <w:t>688.9</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w:t>
      </w:r>
      <w:r>
        <w:rPr>
          <w:rFonts w:hint="eastAsia"/>
        </w:rPr>
        <w:t>024</w:t>
      </w:r>
      <w:r>
        <w:fldChar w:fldCharType="end"/>
      </w:r>
      <w:bookmarkEnd w:id="7"/>
    </w:p>
    <w:p>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艾滋病防治技术指南</w:t>
      </w:r>
    </w:p>
    <w:p>
      <w:pPr>
        <w:pStyle w:val="197"/>
        <w:framePr w:h="6974" w:hRule="exact" w:wrap="around" w:x="1419" w:anchorLock="1"/>
      </w:pPr>
      <w:r>
        <w:t>第9部分：戒毒药物维持治疗</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guidelines for HIV prevention and control</w:t>
      </w: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t xml:space="preserve">Part </w:t>
      </w:r>
      <w:r>
        <w:rPr>
          <w:rFonts w:hint="eastAsia" w:ascii="黑体" w:hAnsi="黑体" w:eastAsia="黑体"/>
          <w:szCs w:val="28"/>
        </w:rPr>
        <w:t>Ⅸ</w:t>
      </w:r>
      <w:r>
        <w:rPr>
          <w:rFonts w:ascii="黑体" w:hAnsi="黑体" w:eastAsia="黑体"/>
          <w:szCs w:val="28"/>
        </w:rPr>
        <w:t>：</w:t>
      </w:r>
      <w:r>
        <w:rPr>
          <w:rFonts w:hint="eastAsia" w:ascii="黑体" w:hAnsi="黑体" w:eastAsia="黑体"/>
          <w:szCs w:val="28"/>
        </w:rPr>
        <w:t>D</w:t>
      </w:r>
      <w:r>
        <w:rPr>
          <w:rFonts w:ascii="黑体" w:hAnsi="黑体" w:eastAsia="黑体"/>
          <w:szCs w:val="28"/>
        </w:rPr>
        <w:t>etoxification methadone maintenance treatment</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bookmarkStart w:id="22" w:name="_Toc160728542"/>
      <w:bookmarkStart w:id="23" w:name="_Toc161325752"/>
      <w:bookmarkStart w:id="24" w:name="_Toc161330597"/>
      <w:bookmarkStart w:id="25" w:name="_Toc157530708"/>
      <w:bookmarkStart w:id="26" w:name="_Toc157530528"/>
      <w:bookmarkStart w:id="27" w:name="_Toc161330813"/>
      <w:bookmarkStart w:id="28" w:name="_Toc161330766"/>
      <w:bookmarkStart w:id="29" w:name="_Toc161989455"/>
      <w:bookmarkStart w:id="30" w:name="_Toc161330694"/>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"_Toc161990813" </w:instrText>
      </w:r>
      <w:r>
        <w:fldChar w:fldCharType="separate"/>
      </w:r>
      <w:r>
        <w:rPr>
          <w:rStyle w:val="32"/>
        </w:rPr>
        <w:t>前言</w:t>
      </w:r>
      <w:r>
        <w:tab/>
      </w:r>
      <w:r>
        <w:fldChar w:fldCharType="begin"/>
      </w:r>
      <w:r>
        <w:instrText xml:space="preserve"> PAGEREF _Toc161990813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"_Toc161990814" </w:instrText>
      </w:r>
      <w:r>
        <w:fldChar w:fldCharType="separate"/>
      </w:r>
      <w:r>
        <w:rPr>
          <w:rStyle w:val="32"/>
        </w:rPr>
        <w:t>引言</w:t>
      </w:r>
      <w:r>
        <w:tab/>
      </w:r>
      <w:r>
        <w:fldChar w:fldCharType="begin"/>
      </w:r>
      <w:r>
        <w:instrText xml:space="preserve"> PAGEREF _Toc161990814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"_Toc161990815" </w:instrText>
      </w:r>
      <w:r>
        <w:fldChar w:fldCharType="separate"/>
      </w:r>
      <w:r>
        <w:rPr>
          <w:rStyle w:val="32"/>
        </w:rPr>
        <w:t>1  范围</w:t>
      </w:r>
      <w:r>
        <w:tab/>
      </w:r>
      <w:r>
        <w:fldChar w:fldCharType="begin"/>
      </w:r>
      <w:r>
        <w:instrText xml:space="preserve"> PAGEREF _Toc161990815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"_Toc161990816" </w:instrText>
      </w:r>
      <w:r>
        <w:fldChar w:fldCharType="separate"/>
      </w:r>
      <w:r>
        <w:rPr>
          <w:rStyle w:val="32"/>
        </w:rPr>
        <w:t>2  规范性引用文件</w:t>
      </w:r>
      <w:r>
        <w:tab/>
      </w:r>
      <w:r>
        <w:fldChar w:fldCharType="begin"/>
      </w:r>
      <w:r>
        <w:instrText xml:space="preserve"> PAGEREF _Toc161990816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"_Toc161990817" </w:instrText>
      </w:r>
      <w:r>
        <w:fldChar w:fldCharType="separate"/>
      </w:r>
      <w:r>
        <w:rPr>
          <w:rStyle w:val="32"/>
        </w:rPr>
        <w:t>3  术语和定义</w:t>
      </w:r>
      <w:r>
        <w:tab/>
      </w:r>
      <w:r>
        <w:fldChar w:fldCharType="begin"/>
      </w:r>
      <w:r>
        <w:instrText xml:space="preserve"> PAGEREF _Toc161990817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"_Toc161990818" </w:instrText>
      </w:r>
      <w:r>
        <w:fldChar w:fldCharType="separate"/>
      </w:r>
      <w:r>
        <w:rPr>
          <w:rStyle w:val="32"/>
        </w:rPr>
        <w:t>4  缩略语</w:t>
      </w:r>
      <w:r>
        <w:tab/>
      </w:r>
      <w:r>
        <w:fldChar w:fldCharType="begin"/>
      </w:r>
      <w:r>
        <w:instrText xml:space="preserve"> PAGEREF _Toc161990818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"_Toc161990819" </w:instrText>
      </w:r>
      <w:r>
        <w:fldChar w:fldCharType="separate"/>
      </w:r>
      <w:r>
        <w:rPr>
          <w:rStyle w:val="32"/>
        </w:rPr>
        <w:t>5  门诊设置</w:t>
      </w:r>
      <w:r>
        <w:tab/>
      </w:r>
      <w:r>
        <w:fldChar w:fldCharType="begin"/>
      </w:r>
      <w:r>
        <w:instrText xml:space="preserve"> PAGEREF _Toc161990819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"_Toc161990820" </w:instrText>
      </w:r>
      <w:r>
        <w:fldChar w:fldCharType="separate"/>
      </w:r>
      <w:r>
        <w:rPr>
          <w:rStyle w:val="32"/>
        </w:rPr>
        <w:t>6  治疗内容</w:t>
      </w:r>
      <w:r>
        <w:tab/>
      </w:r>
      <w:r>
        <w:fldChar w:fldCharType="begin"/>
      </w:r>
      <w:r>
        <w:instrText xml:space="preserve"> PAGEREF _Toc161990820 \h </w:instrText>
      </w:r>
      <w:r>
        <w:fldChar w:fldCharType="separate"/>
      </w:r>
      <w:r>
        <w:t>6</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"_Toc161990821" </w:instrText>
      </w:r>
      <w:r>
        <w:fldChar w:fldCharType="separate"/>
      </w:r>
      <w:r>
        <w:rPr>
          <w:rStyle w:val="32"/>
        </w:rPr>
        <w:t>7  治疗流程</w:t>
      </w:r>
      <w:r>
        <w:tab/>
      </w:r>
      <w:r>
        <w:fldChar w:fldCharType="begin"/>
      </w:r>
      <w:r>
        <w:instrText xml:space="preserve"> PAGEREF _Toc161990821 \h </w:instrText>
      </w:r>
      <w:r>
        <w:fldChar w:fldCharType="separate"/>
      </w:r>
      <w:r>
        <w:t>8</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"_Toc161990822" </w:instrText>
      </w:r>
      <w:r>
        <w:fldChar w:fldCharType="separate"/>
      </w:r>
      <w:r>
        <w:rPr>
          <w:rStyle w:val="32"/>
        </w:rPr>
        <w:t>8  药品管理</w:t>
      </w:r>
      <w:r>
        <w:tab/>
      </w:r>
      <w:r>
        <w:fldChar w:fldCharType="begin"/>
      </w:r>
      <w:r>
        <w:instrText xml:space="preserve"> PAGEREF _Toc161990822 \h </w:instrText>
      </w:r>
      <w:r>
        <w:fldChar w:fldCharType="separate"/>
      </w:r>
      <w:r>
        <w:t>9</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"_Toc161990823" </w:instrText>
      </w:r>
      <w:r>
        <w:fldChar w:fldCharType="separate"/>
      </w:r>
      <w:r>
        <w:rPr>
          <w:rStyle w:val="32"/>
        </w:rPr>
        <w:t>参考文献</w:t>
      </w:r>
      <w:r>
        <w:tab/>
      </w:r>
      <w:r>
        <w:fldChar w:fldCharType="begin"/>
      </w:r>
      <w:r>
        <w:instrText xml:space="preserve"> PAGEREF _Toc161990823 \h </w:instrText>
      </w:r>
      <w:r>
        <w:fldChar w:fldCharType="separate"/>
      </w:r>
      <w:r>
        <w:t>10</w:t>
      </w:r>
      <w:r>
        <w:fldChar w:fldCharType="end"/>
      </w:r>
      <w:r>
        <w:fldChar w:fldCharType="end"/>
      </w:r>
    </w:p>
    <w:p>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31" w:name="_Toc161990813"/>
      <w:bookmarkStart w:id="32" w:name="BookMark2"/>
      <w:r>
        <w:rPr>
          <w:spacing w:val="320"/>
        </w:rPr>
        <w:t>前</w:t>
      </w:r>
      <w:r>
        <w:t>言</w:t>
      </w:r>
      <w:bookmarkEnd w:id="22"/>
      <w:bookmarkEnd w:id="23"/>
      <w:bookmarkEnd w:id="24"/>
      <w:bookmarkEnd w:id="25"/>
      <w:bookmarkEnd w:id="26"/>
      <w:bookmarkEnd w:id="27"/>
      <w:bookmarkEnd w:id="28"/>
      <w:bookmarkEnd w:id="29"/>
      <w:bookmarkEnd w:id="30"/>
      <w:bookmarkEnd w:id="31"/>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本文件是DB32/T 4688《艾滋病防治技术指南》的第</w:t>
      </w:r>
      <w:r>
        <w:t>9</w:t>
      </w:r>
      <w:r>
        <w:rPr>
          <w:rFonts w:hint="eastAsia"/>
        </w:rPr>
        <w:t>部分。DB32/T 4688已经发布了以下部分：</w:t>
      </w:r>
    </w:p>
    <w:p>
      <w:pPr>
        <w:pStyle w:val="56"/>
        <w:ind w:firstLine="420"/>
      </w:pPr>
      <w:r>
        <w:rPr>
          <w:rFonts w:ascii="Times New Roman"/>
          <w:szCs w:val="21"/>
        </w:rPr>
        <w:t>——</w:t>
      </w:r>
      <w:r>
        <w:rPr>
          <w:rFonts w:hint="eastAsia"/>
        </w:rPr>
        <w:t>第1部分: 自愿咨询检测门诊建设；</w:t>
      </w:r>
    </w:p>
    <w:p>
      <w:pPr>
        <w:pStyle w:val="56"/>
        <w:ind w:firstLine="420"/>
      </w:pPr>
      <w:r>
        <w:rPr>
          <w:rFonts w:ascii="Times New Roman"/>
          <w:szCs w:val="21"/>
        </w:rPr>
        <w:t>——</w:t>
      </w:r>
      <w:r>
        <w:rPr>
          <w:rFonts w:hint="eastAsia"/>
        </w:rPr>
        <w:t>第2部分: 筛查实验室建设；</w:t>
      </w:r>
    </w:p>
    <w:p>
      <w:pPr>
        <w:pStyle w:val="56"/>
        <w:ind w:firstLine="420"/>
      </w:pPr>
      <w:r>
        <w:rPr>
          <w:rFonts w:ascii="Times New Roman"/>
          <w:szCs w:val="21"/>
        </w:rPr>
        <w:t>——</w:t>
      </w:r>
      <w:r>
        <w:rPr>
          <w:rFonts w:hint="eastAsia"/>
        </w:rPr>
        <w:t>第3部分: 检测点建设；</w:t>
      </w:r>
    </w:p>
    <w:p>
      <w:pPr>
        <w:pStyle w:val="56"/>
        <w:ind w:firstLine="420"/>
      </w:pPr>
      <w:r>
        <w:rPr>
          <w:rFonts w:ascii="Times New Roman"/>
          <w:szCs w:val="21"/>
        </w:rPr>
        <w:t>——</w:t>
      </w:r>
      <w:r>
        <w:rPr>
          <w:rFonts w:hint="eastAsia"/>
        </w:rPr>
        <w:t>第4部分: 确证实验室建设；</w:t>
      </w:r>
    </w:p>
    <w:p>
      <w:pPr>
        <w:pStyle w:val="56"/>
        <w:ind w:firstLine="420"/>
      </w:pPr>
      <w:r>
        <w:rPr>
          <w:rFonts w:ascii="Times New Roman"/>
          <w:szCs w:val="21"/>
        </w:rPr>
        <w:t>——</w:t>
      </w:r>
      <w:r>
        <w:rPr>
          <w:rFonts w:hint="eastAsia"/>
        </w:rPr>
        <w:t>第5部分: 临床信息管理；</w:t>
      </w:r>
    </w:p>
    <w:p>
      <w:pPr>
        <w:pStyle w:val="56"/>
        <w:ind w:firstLine="420"/>
      </w:pPr>
      <w:r>
        <w:rPr>
          <w:rFonts w:ascii="Times New Roman"/>
          <w:szCs w:val="21"/>
        </w:rPr>
        <w:t>——</w:t>
      </w:r>
      <w:r>
        <w:rPr>
          <w:rFonts w:hint="eastAsia"/>
        </w:rPr>
        <w:t>第6部分: 自愿咨询检测服务；</w:t>
      </w:r>
    </w:p>
    <w:p>
      <w:pPr>
        <w:pStyle w:val="56"/>
        <w:ind w:firstLine="420"/>
      </w:pPr>
      <w:r>
        <w:rPr>
          <w:rFonts w:ascii="Times New Roman"/>
          <w:szCs w:val="21"/>
        </w:rPr>
        <w:t>——</w:t>
      </w:r>
      <w:r>
        <w:rPr>
          <w:rFonts w:hint="eastAsia"/>
        </w:rPr>
        <w:t>第7部分: 病例报告及管理；</w:t>
      </w:r>
    </w:p>
    <w:p>
      <w:pPr>
        <w:pStyle w:val="56"/>
        <w:ind w:firstLine="420"/>
      </w:pPr>
      <w:r>
        <w:rPr>
          <w:rFonts w:ascii="Times New Roman"/>
          <w:szCs w:val="21"/>
        </w:rPr>
        <w:t>——</w:t>
      </w:r>
      <w:r>
        <w:rPr>
          <w:rFonts w:hint="eastAsia"/>
        </w:rPr>
        <w:t>第8部分: 暴露后预防；</w:t>
      </w:r>
    </w:p>
    <w:p>
      <w:pPr>
        <w:pStyle w:val="56"/>
        <w:ind w:firstLine="420"/>
      </w:pPr>
      <w:r>
        <w:rPr>
          <w:rFonts w:ascii="Times New Roman"/>
          <w:szCs w:val="21"/>
        </w:rPr>
        <w:t>——</w:t>
      </w:r>
      <w:r>
        <w:rPr>
          <w:rFonts w:hint="eastAsia"/>
        </w:rPr>
        <w:t>第9部分: 戒毒药物维持治疗；</w:t>
      </w:r>
    </w:p>
    <w:p>
      <w:pPr>
        <w:pStyle w:val="56"/>
        <w:ind w:firstLine="420"/>
      </w:pPr>
      <w:r>
        <w:rPr>
          <w:rFonts w:ascii="Times New Roman"/>
          <w:szCs w:val="21"/>
        </w:rPr>
        <w:t>——</w:t>
      </w:r>
      <w:r>
        <w:rPr>
          <w:rFonts w:hint="eastAsia"/>
        </w:rPr>
        <w:t>第10部分: 宣传教育。</w:t>
      </w:r>
    </w:p>
    <w:p>
      <w:pPr>
        <w:pStyle w:val="56"/>
        <w:ind w:firstLine="420"/>
      </w:pPr>
      <w:r>
        <w:rPr>
          <w:rFonts w:hint="eastAsia"/>
        </w:rPr>
        <w:t>请注意本件的某些内容可能涉及专利。本文件的发布机构不承担识别专利的责任。</w:t>
      </w:r>
    </w:p>
    <w:p>
      <w:pPr>
        <w:pStyle w:val="56"/>
        <w:ind w:firstLine="420"/>
      </w:pPr>
      <w:r>
        <w:rPr>
          <w:rFonts w:hint="eastAsia"/>
        </w:rPr>
        <w:t>本文件由江苏省卫生健康委员会提出。</w:t>
      </w:r>
    </w:p>
    <w:p>
      <w:pPr>
        <w:pStyle w:val="56"/>
        <w:ind w:firstLine="420"/>
      </w:pPr>
      <w:r>
        <w:rPr>
          <w:rFonts w:hint="eastAsia"/>
        </w:rPr>
        <w:t>本文件由江苏省卫生健康标准化技术委员会归口。</w:t>
      </w:r>
    </w:p>
    <w:p>
      <w:pPr>
        <w:pStyle w:val="56"/>
        <w:ind w:firstLine="420"/>
      </w:pPr>
      <w:r>
        <w:rPr>
          <w:rFonts w:hint="eastAsia"/>
        </w:rPr>
        <w:t>本文件起草单位：</w:t>
      </w:r>
      <w:bookmarkStart w:id="272" w:name="_GoBack"/>
      <w:bookmarkEnd w:id="272"/>
      <w:r>
        <w:rPr>
          <w:rFonts w:hint="eastAsia"/>
        </w:rPr>
        <w:t>江苏省疾病预防控制中心、扬州市疾病预防控制中心、连云港市第四人民医院、昆山市精神卫生中心、无锡市疾病预防控制中心、镇江市疾病预防控制中心、南京大厂社区卫生服务中心、无锡市山北街道社区卫生服务中心、昆山市疾病预防控制中心和南通市疾病预防控制中心。</w:t>
      </w:r>
    </w:p>
    <w:p>
      <w:pPr>
        <w:pStyle w:val="56"/>
        <w:ind w:firstLine="420"/>
      </w:pPr>
      <w:r>
        <w:rPr>
          <w:rFonts w:hint="eastAsia"/>
        </w:rPr>
        <w:t>本文件主要起草人：陈国红、李锦成、孙庆元、焦建平、潘晓雯、徐永康、刘晓燕、阎郁、张午鸣、薛黎坚、周小毅。</w:t>
      </w:r>
    </w:p>
    <w:p>
      <w:pPr>
        <w:pStyle w:val="56"/>
        <w:ind w:firstLine="420"/>
      </w:pP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32"/>
    <w:p>
      <w:pPr>
        <w:pStyle w:val="89"/>
        <w:spacing w:after="468"/>
      </w:pPr>
      <w:bookmarkStart w:id="33" w:name="_Toc161330598"/>
      <w:bookmarkStart w:id="34" w:name="_Toc161330767"/>
      <w:bookmarkStart w:id="35" w:name="_Toc161330814"/>
      <w:bookmarkStart w:id="36" w:name="_Toc157530529"/>
      <w:bookmarkStart w:id="37" w:name="_Toc161989456"/>
      <w:bookmarkStart w:id="38" w:name="_Toc157530709"/>
      <w:bookmarkStart w:id="39" w:name="_Toc161990814"/>
      <w:bookmarkStart w:id="40" w:name="_Toc161330695"/>
      <w:bookmarkStart w:id="41" w:name="_Toc161325753"/>
      <w:bookmarkStart w:id="42" w:name="_Toc160728543"/>
      <w:bookmarkStart w:id="43" w:name="BookMark3"/>
      <w:r>
        <w:rPr>
          <w:spacing w:val="320"/>
        </w:rPr>
        <w:t>引</w:t>
      </w:r>
      <w:r>
        <w:t>言</w:t>
      </w:r>
      <w:bookmarkEnd w:id="33"/>
      <w:bookmarkEnd w:id="34"/>
      <w:bookmarkEnd w:id="35"/>
      <w:bookmarkEnd w:id="36"/>
      <w:bookmarkEnd w:id="37"/>
      <w:bookmarkEnd w:id="38"/>
      <w:bookmarkEnd w:id="39"/>
      <w:bookmarkEnd w:id="40"/>
      <w:bookmarkEnd w:id="41"/>
      <w:bookmarkEnd w:id="42"/>
    </w:p>
    <w:p>
      <w:pPr>
        <w:pStyle w:val="56"/>
        <w:ind w:firstLine="420"/>
      </w:pPr>
      <w:r>
        <w:rPr>
          <w:rFonts w:hint="eastAsia"/>
        </w:rPr>
        <w:t>艾滋病已成为严重威胁我国公众健康的重大公共卫生问题，目前在全世界范围内仍缺乏根治HIV感染的有效药物。2021年联合国艾滋病问题高级别会议通过的《关于艾滋病毒和艾滋病问题的政治宣言》提出2030年终结艾滋病流行的目标。本文件按照《艾滋病防治条例》（2019年修订）、《国务院办公厅关于印发“十四五”国民健康规划的通知》（国办发〔2022〕11号）、《关于印发江苏省遏制与防治艾滋病“十四五”行动计划的通知》(苏卫疾控〔2021〕102号)的精神，为提升我省艾滋病综合防治能力，加速实现终结艾滋病流行的目标而制定。</w:t>
      </w:r>
    </w:p>
    <w:p>
      <w:pPr>
        <w:pStyle w:val="56"/>
        <w:ind w:firstLine="420"/>
      </w:pPr>
      <w:r>
        <w:rPr>
          <w:rFonts w:hint="eastAsia"/>
        </w:rPr>
        <w:t>DB32/T 4688《艾滋病防治技术指南》由以下10个部分组成：</w:t>
      </w:r>
    </w:p>
    <w:p>
      <w:pPr>
        <w:pStyle w:val="56"/>
        <w:ind w:firstLine="420"/>
      </w:pPr>
      <w:r>
        <w:rPr>
          <w:rFonts w:ascii="Times New Roman"/>
          <w:szCs w:val="21"/>
        </w:rPr>
        <w:t>——</w:t>
      </w:r>
      <w:r>
        <w:rPr>
          <w:rFonts w:hint="eastAsia"/>
        </w:rPr>
        <w:t>第1部分: 自愿咨询检测门诊建设；</w:t>
      </w:r>
    </w:p>
    <w:p>
      <w:pPr>
        <w:pStyle w:val="56"/>
        <w:ind w:firstLine="420"/>
      </w:pPr>
      <w:r>
        <w:rPr>
          <w:rFonts w:ascii="Times New Roman"/>
          <w:szCs w:val="21"/>
        </w:rPr>
        <w:t>——</w:t>
      </w:r>
      <w:r>
        <w:rPr>
          <w:rFonts w:hint="eastAsia"/>
        </w:rPr>
        <w:t>第2部分: 筛查实验室建设；</w:t>
      </w:r>
    </w:p>
    <w:p>
      <w:pPr>
        <w:pStyle w:val="56"/>
        <w:ind w:firstLine="420"/>
      </w:pPr>
      <w:r>
        <w:rPr>
          <w:rFonts w:ascii="Times New Roman"/>
          <w:szCs w:val="21"/>
        </w:rPr>
        <w:t>——</w:t>
      </w:r>
      <w:r>
        <w:rPr>
          <w:rFonts w:hint="eastAsia"/>
        </w:rPr>
        <w:t>第3部分: 检测点建设；</w:t>
      </w:r>
    </w:p>
    <w:p>
      <w:pPr>
        <w:pStyle w:val="56"/>
        <w:ind w:firstLine="420"/>
      </w:pPr>
      <w:r>
        <w:rPr>
          <w:rFonts w:ascii="Times New Roman"/>
          <w:szCs w:val="21"/>
        </w:rPr>
        <w:t>——</w:t>
      </w:r>
      <w:r>
        <w:rPr>
          <w:rFonts w:hint="eastAsia"/>
        </w:rPr>
        <w:t>第4部分: 确证实验室建设；</w:t>
      </w:r>
    </w:p>
    <w:p>
      <w:pPr>
        <w:pStyle w:val="56"/>
        <w:ind w:firstLine="420"/>
      </w:pPr>
      <w:r>
        <w:rPr>
          <w:rFonts w:ascii="Times New Roman"/>
          <w:szCs w:val="21"/>
        </w:rPr>
        <w:t>——</w:t>
      </w:r>
      <w:r>
        <w:rPr>
          <w:rFonts w:hint="eastAsia"/>
        </w:rPr>
        <w:t>第5部分: 临床信息管理；</w:t>
      </w:r>
    </w:p>
    <w:p>
      <w:pPr>
        <w:pStyle w:val="56"/>
        <w:ind w:firstLine="420"/>
      </w:pPr>
      <w:r>
        <w:rPr>
          <w:rFonts w:ascii="Times New Roman"/>
          <w:szCs w:val="21"/>
        </w:rPr>
        <w:t>——</w:t>
      </w:r>
      <w:r>
        <w:rPr>
          <w:rFonts w:hint="eastAsia"/>
        </w:rPr>
        <w:t>第6部分: 自愿咨询检测服务；</w:t>
      </w:r>
    </w:p>
    <w:p>
      <w:pPr>
        <w:pStyle w:val="56"/>
        <w:ind w:firstLine="420"/>
      </w:pPr>
      <w:r>
        <w:rPr>
          <w:rFonts w:ascii="Times New Roman"/>
          <w:szCs w:val="21"/>
        </w:rPr>
        <w:t>——</w:t>
      </w:r>
      <w:r>
        <w:rPr>
          <w:rFonts w:hint="eastAsia"/>
        </w:rPr>
        <w:t>第7部分: 病例报告及管理；</w:t>
      </w:r>
    </w:p>
    <w:p>
      <w:pPr>
        <w:pStyle w:val="56"/>
        <w:ind w:firstLine="420"/>
      </w:pPr>
      <w:r>
        <w:rPr>
          <w:rFonts w:ascii="Times New Roman"/>
          <w:szCs w:val="21"/>
        </w:rPr>
        <w:t>——</w:t>
      </w:r>
      <w:r>
        <w:rPr>
          <w:rFonts w:hint="eastAsia"/>
        </w:rPr>
        <w:t>第8部分: 暴露后预防；</w:t>
      </w:r>
    </w:p>
    <w:p>
      <w:pPr>
        <w:pStyle w:val="56"/>
        <w:ind w:firstLine="420"/>
      </w:pPr>
      <w:r>
        <w:rPr>
          <w:rFonts w:ascii="Times New Roman"/>
          <w:szCs w:val="21"/>
        </w:rPr>
        <w:t>——</w:t>
      </w:r>
      <w:r>
        <w:rPr>
          <w:rFonts w:hint="eastAsia"/>
        </w:rPr>
        <w:t>第9部分: 戒毒药物维持治疗；</w:t>
      </w:r>
    </w:p>
    <w:p>
      <w:pPr>
        <w:pStyle w:val="56"/>
        <w:ind w:firstLine="420"/>
      </w:pPr>
      <w:r>
        <w:rPr>
          <w:rFonts w:ascii="Times New Roman"/>
          <w:szCs w:val="21"/>
        </w:rPr>
        <w:t>——</w:t>
      </w:r>
      <w:r>
        <w:rPr>
          <w:rFonts w:hint="eastAsia"/>
        </w:rPr>
        <w:t>第10部分: 宣传教育。</w:t>
      </w:r>
    </w:p>
    <w:p>
      <w:pPr>
        <w:pStyle w:val="56"/>
        <w:ind w:firstLine="420"/>
      </w:pPr>
      <w:r>
        <w:rPr>
          <w:rFonts w:hint="eastAsia"/>
        </w:rPr>
        <w:t>DB32/T 4688的制定是对艾滋防治工作相关方面的国家标准、行业标准有力补充,为开展艾滋病病毒感染者和病人的检测、诊断、报告、转介、追踪、治疗、随访的全流程管理以及艾滋病预防干预和宣传教育等综合性防治工作提供有力的科学依据和支撑,对艾滋病的科学防治有着非常重要的意义。</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43"/>
    <w:p>
      <w:pPr>
        <w:spacing w:line="20" w:lineRule="exact"/>
        <w:jc w:val="center"/>
        <w:rPr>
          <w:rFonts w:ascii="黑体" w:hAnsi="黑体" w:eastAsia="黑体"/>
          <w:sz w:val="32"/>
          <w:szCs w:val="32"/>
        </w:rPr>
      </w:pPr>
      <w:bookmarkStart w:id="44" w:name="BookMark4"/>
    </w:p>
    <w:p>
      <w:pPr>
        <w:spacing w:line="20" w:lineRule="exact"/>
        <w:jc w:val="center"/>
        <w:rPr>
          <w:rFonts w:ascii="黑体" w:hAnsi="黑体" w:eastAsia="黑体"/>
          <w:sz w:val="32"/>
          <w:szCs w:val="32"/>
        </w:rPr>
      </w:pPr>
    </w:p>
    <w:sdt>
      <w:sdtPr>
        <w:tag w:val="NEW_STAND_NAME"/>
        <w:id w:val="595910757"/>
        <w:lock w:val="sdtLocked"/>
        <w:placeholder>
          <w:docPart w:val="8DADBDFE53C4438A845EA434189183A2"/>
        </w:placeholder>
      </w:sdtPr>
      <w:sdtContent>
        <w:p>
          <w:pPr>
            <w:pStyle w:val="177"/>
            <w:spacing w:before="3" w:beforeLines="1" w:after="3" w:afterLines="1"/>
          </w:pPr>
          <w:bookmarkStart w:id="45" w:name="NEW_STAND_NAME"/>
          <w:r>
            <w:rPr>
              <w:rFonts w:hint="eastAsia"/>
            </w:rPr>
            <w:t>艾滋病防治技术指南</w:t>
          </w:r>
        </w:p>
        <w:p>
          <w:pPr>
            <w:pStyle w:val="177"/>
            <w:spacing w:before="3" w:beforeLines="1" w:after="680"/>
          </w:pPr>
          <w:r>
            <w:rPr>
              <w:rFonts w:hint="eastAsia"/>
            </w:rPr>
            <w:t>第</w:t>
          </w:r>
          <w:r>
            <w:t>9部分：戒毒药物维持治疗</w:t>
          </w:r>
        </w:p>
      </w:sdtContent>
    </w:sdt>
    <w:bookmarkEnd w:id="45"/>
    <w:p>
      <w:pPr>
        <w:pStyle w:val="104"/>
        <w:spacing w:before="312" w:after="312"/>
      </w:pPr>
      <w:bookmarkStart w:id="46" w:name="_Toc26718930"/>
      <w:bookmarkStart w:id="47" w:name="_Toc157530530"/>
      <w:bookmarkStart w:id="48" w:name="_Toc17233325"/>
      <w:bookmarkStart w:id="49" w:name="_Toc161330815"/>
      <w:bookmarkStart w:id="50" w:name="_Toc24884211"/>
      <w:bookmarkStart w:id="51" w:name="_Toc160728544"/>
      <w:bookmarkStart w:id="52" w:name="_Toc26986771"/>
      <w:bookmarkStart w:id="53" w:name="_Toc17233333"/>
      <w:bookmarkStart w:id="54" w:name="_Toc161325754"/>
      <w:bookmarkStart w:id="55" w:name="_Toc26648465"/>
      <w:bookmarkStart w:id="56" w:name="_Toc97191423"/>
      <w:bookmarkStart w:id="57" w:name="_Toc26986530"/>
      <w:bookmarkStart w:id="58" w:name="_Toc157530710"/>
      <w:bookmarkStart w:id="59" w:name="_Toc161989457"/>
      <w:bookmarkStart w:id="60" w:name="_Toc161330599"/>
      <w:bookmarkStart w:id="61" w:name="_Toc161330696"/>
      <w:bookmarkStart w:id="62" w:name="_Toc161330768"/>
      <w:bookmarkStart w:id="63" w:name="_Toc24884218"/>
      <w:bookmarkStart w:id="64" w:name="_Toc161990815"/>
      <w:r>
        <w:rPr>
          <w:rFonts w:hint="eastAsia"/>
        </w:rPr>
        <w:t>范围</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pPr>
        <w:pStyle w:val="56"/>
        <w:ind w:firstLine="420"/>
      </w:pPr>
      <w:bookmarkStart w:id="65" w:name="_Toc26648466"/>
      <w:bookmarkStart w:id="66" w:name="_Toc24884212"/>
      <w:bookmarkStart w:id="67" w:name="_Toc17233334"/>
      <w:bookmarkStart w:id="68" w:name="_Toc17233326"/>
      <w:bookmarkStart w:id="69" w:name="_Toc24884219"/>
      <w:r>
        <w:rPr>
          <w:rFonts w:hint="eastAsia"/>
        </w:rPr>
        <w:t>本文件规定了医疗卫生机构戒毒药物维持治疗门诊设置、治疗内容、治疗流程及药品管理要求。</w:t>
      </w:r>
    </w:p>
    <w:p>
      <w:pPr>
        <w:pStyle w:val="56"/>
        <w:ind w:firstLine="420"/>
      </w:pPr>
      <w:r>
        <w:rPr>
          <w:rFonts w:hint="eastAsia"/>
        </w:rPr>
        <w:t>本文件适用于医疗卫生机构开展戒毒药物维持治疗工作。</w:t>
      </w:r>
    </w:p>
    <w:p>
      <w:pPr>
        <w:pStyle w:val="104"/>
        <w:spacing w:before="312" w:after="312"/>
      </w:pPr>
      <w:bookmarkStart w:id="70" w:name="_Toc161325755"/>
      <w:bookmarkStart w:id="71" w:name="_Toc26718931"/>
      <w:bookmarkStart w:id="72" w:name="_Toc97191424"/>
      <w:bookmarkStart w:id="73" w:name="_Toc161330600"/>
      <w:bookmarkStart w:id="74" w:name="_Toc161989458"/>
      <w:bookmarkStart w:id="75" w:name="_Toc161330697"/>
      <w:bookmarkStart w:id="76" w:name="_Toc157530711"/>
      <w:bookmarkStart w:id="77" w:name="_Toc157530531"/>
      <w:bookmarkStart w:id="78" w:name="_Toc161330769"/>
      <w:bookmarkStart w:id="79" w:name="_Toc161990816"/>
      <w:bookmarkStart w:id="80" w:name="_Toc161330816"/>
      <w:bookmarkStart w:id="81" w:name="_Toc26986531"/>
      <w:bookmarkStart w:id="82" w:name="_Toc160728545"/>
      <w:bookmarkStart w:id="83" w:name="_Toc26986772"/>
      <w:r>
        <w:rPr>
          <w:rFonts w:hint="eastAsia"/>
        </w:rPr>
        <w:t>规范性引用文件</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sdt>
      <w:sdtPr>
        <w:rPr>
          <w:rFonts w:hint="eastAsia"/>
        </w:rPr>
        <w:id w:val="715848253"/>
        <w:placeholder>
          <w:docPart w:val="D36DBB5123D641D4BA95876FBA3E648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WS 213 丙型肝炎诊断</w:t>
      </w:r>
    </w:p>
    <w:p>
      <w:pPr>
        <w:pStyle w:val="56"/>
        <w:ind w:firstLine="420"/>
      </w:pPr>
      <w:r>
        <w:rPr>
          <w:rFonts w:hint="eastAsia"/>
        </w:rPr>
        <w:t>WS 273 梅毒诊断</w:t>
      </w:r>
    </w:p>
    <w:p>
      <w:pPr>
        <w:pStyle w:val="56"/>
        <w:ind w:firstLine="420"/>
      </w:pPr>
      <w:r>
        <w:rPr>
          <w:rFonts w:hint="eastAsia"/>
        </w:rPr>
        <w:t>WS 293 艾滋病和艾滋病病毒感染诊断</w:t>
      </w:r>
    </w:p>
    <w:p>
      <w:pPr>
        <w:pStyle w:val="104"/>
        <w:spacing w:before="312" w:after="312"/>
      </w:pPr>
      <w:bookmarkStart w:id="84" w:name="_Toc157530532"/>
      <w:bookmarkStart w:id="85" w:name="_Toc161330770"/>
      <w:bookmarkStart w:id="86" w:name="_Toc97191425"/>
      <w:bookmarkStart w:id="87" w:name="_Toc157530712"/>
      <w:bookmarkStart w:id="88" w:name="_Toc161330601"/>
      <w:bookmarkStart w:id="89" w:name="_Toc161325756"/>
      <w:bookmarkStart w:id="90" w:name="_Toc161330817"/>
      <w:bookmarkStart w:id="91" w:name="_Toc160728546"/>
      <w:bookmarkStart w:id="92" w:name="_Toc161330698"/>
      <w:bookmarkStart w:id="93" w:name="_Toc161989459"/>
      <w:bookmarkStart w:id="94" w:name="_Toc161990817"/>
      <w:r>
        <w:rPr>
          <w:rFonts w:hint="eastAsia"/>
          <w:szCs w:val="21"/>
        </w:rPr>
        <w:t>术语和定义</w:t>
      </w:r>
      <w:bookmarkEnd w:id="84"/>
      <w:bookmarkEnd w:id="85"/>
      <w:bookmarkEnd w:id="86"/>
      <w:bookmarkEnd w:id="87"/>
      <w:bookmarkEnd w:id="88"/>
      <w:bookmarkEnd w:id="89"/>
      <w:bookmarkEnd w:id="90"/>
      <w:bookmarkEnd w:id="91"/>
      <w:bookmarkEnd w:id="92"/>
      <w:bookmarkEnd w:id="93"/>
      <w:bookmarkEnd w:id="94"/>
    </w:p>
    <w:sdt>
      <w:sdtPr>
        <w:id w:val="-1909835108"/>
        <w:placeholder>
          <w:docPart w:val="5B9694EA45A845CBB83617D0A03F087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95" w:name="_Toc26986532"/>
          <w:bookmarkEnd w:id="95"/>
          <w:r>
            <w:t>WS 293</w:t>
          </w:r>
          <w:r>
            <w:rPr>
              <w:rFonts w:hint="eastAsia"/>
            </w:rPr>
            <w:t>、D</w:t>
          </w:r>
          <w:r>
            <w:t>B32/T 4688界定的以及下列术语和定义适用于本文件。</w:t>
          </w:r>
        </w:p>
      </w:sdtContent>
    </w:sdt>
    <w:p>
      <w:pPr>
        <w:pStyle w:val="223"/>
        <w:ind w:left="420" w:hanging="420" w:hangingChars="200"/>
        <w:rPr>
          <w:rFonts w:ascii="黑体" w:hAnsi="黑体" w:eastAsia="黑体"/>
        </w:rPr>
      </w:pPr>
      <w:bookmarkStart w:id="96" w:name="_Toc157530533"/>
      <w:bookmarkEnd w:id="96"/>
      <w:bookmarkStart w:id="97" w:name="_Toc157530534"/>
      <w:bookmarkEnd w:id="97"/>
      <w:bookmarkStart w:id="98" w:name="_Hlk152929494"/>
      <w:bookmarkStart w:id="99" w:name="_Hlk157528522"/>
      <w:bookmarkStart w:id="100" w:name="_Hlk152928839"/>
    </w:p>
    <w:p>
      <w:pPr>
        <w:pStyle w:val="223"/>
        <w:numPr>
          <w:ilvl w:val="0"/>
          <w:numId w:val="0"/>
        </w:numPr>
        <w:ind w:left="420"/>
        <w:rPr>
          <w:rFonts w:ascii="黑体" w:hAnsi="黑体" w:eastAsia="黑体"/>
        </w:rPr>
      </w:pPr>
      <w:r>
        <w:rPr>
          <w:rFonts w:hint="eastAsia" w:ascii="黑体" w:hAnsi="黑体" w:eastAsia="黑体"/>
        </w:rPr>
        <w:t>戒毒药物维持</w:t>
      </w:r>
      <w:bookmarkStart w:id="101" w:name="_Toc68878876"/>
      <w:r>
        <w:rPr>
          <w:rFonts w:hint="eastAsia" w:ascii="黑体" w:hAnsi="黑体" w:eastAsia="黑体"/>
        </w:rPr>
        <w:t>治疗</w:t>
      </w:r>
      <w:r>
        <w:rPr>
          <w:rFonts w:ascii="黑体" w:hAnsi="黑体" w:eastAsia="黑体"/>
        </w:rPr>
        <w:t xml:space="preserve">  </w:t>
      </w:r>
      <w:r>
        <w:rPr>
          <w:rFonts w:ascii="Times New Roman" w:eastAsia="黑体"/>
          <w:b/>
          <w:bCs/>
          <w:sz w:val="24"/>
          <w:szCs w:val="24"/>
        </w:rPr>
        <w:t>d</w:t>
      </w:r>
      <w:r>
        <w:rPr>
          <w:rFonts w:ascii="Times New Roman" w:eastAsia="黑体"/>
          <w:b/>
          <w:bCs/>
        </w:rPr>
        <w:t>etoxification methadone maintenance treatment</w:t>
      </w:r>
      <w:bookmarkEnd w:id="101"/>
    </w:p>
    <w:p>
      <w:pPr>
        <w:pStyle w:val="231"/>
      </w:pPr>
      <w:r>
        <w:rPr>
          <w:rFonts w:hint="eastAsia"/>
        </w:rPr>
        <w:t>在符合条件的医疗卫生机构，使用口服美沙酮对阿片类物质成瘾者进行长期维持治疗，以减轻他们对阿片类物质的依赖，促进身心康复，减少违法犯罪行为的戒毒医疗活动。</w:t>
      </w:r>
    </w:p>
    <w:bookmarkEnd w:id="98"/>
    <w:p>
      <w:pPr>
        <w:pStyle w:val="223"/>
        <w:ind w:left="420" w:hanging="420" w:hangingChars="200"/>
        <w:rPr>
          <w:rFonts w:ascii="黑体" w:hAnsi="黑体" w:eastAsia="黑体"/>
        </w:rPr>
      </w:pPr>
      <w:bookmarkStart w:id="102" w:name="_Toc157530535"/>
      <w:bookmarkEnd w:id="102"/>
    </w:p>
    <w:p>
      <w:pPr>
        <w:pStyle w:val="231"/>
        <w:rPr>
          <w:rFonts w:ascii="黑体" w:eastAsia="黑体"/>
        </w:rPr>
      </w:pPr>
      <w:r>
        <w:rPr>
          <w:rFonts w:hint="eastAsia" w:ascii="黑体" w:hAnsi="黑体" w:eastAsia="黑体"/>
        </w:rPr>
        <w:t>戒毒药物维持治疗门诊</w:t>
      </w:r>
      <w:r>
        <w:rPr>
          <w:rFonts w:hint="eastAsia" w:ascii="黑体" w:eastAsia="黑体"/>
        </w:rPr>
        <w:t xml:space="preserve"> </w:t>
      </w:r>
      <w:r>
        <w:rPr>
          <w:rFonts w:ascii="黑体" w:eastAsia="黑体"/>
        </w:rPr>
        <w:t xml:space="preserve"> </w:t>
      </w:r>
      <w:r>
        <w:rPr>
          <w:rFonts w:hint="eastAsia" w:ascii="Times New Roman"/>
          <w:b/>
          <w:bCs/>
        </w:rPr>
        <w:t>detoxification methadone maintenance treatment clinics</w:t>
      </w:r>
    </w:p>
    <w:p>
      <w:pPr>
        <w:pStyle w:val="231"/>
      </w:pPr>
      <w:r>
        <w:rPr>
          <w:rFonts w:hint="eastAsia"/>
        </w:rPr>
        <w:t>在非营利性医疗卫生机构中，向阿片类物质成瘾者提供戒毒药物维持治疗服务的门诊。</w:t>
      </w:r>
    </w:p>
    <w:p>
      <w:pPr>
        <w:pStyle w:val="223"/>
        <w:ind w:left="420" w:hanging="420" w:hangingChars="200"/>
        <w:rPr>
          <w:rFonts w:ascii="黑体" w:hAnsi="黑体" w:eastAsia="黑体"/>
        </w:rPr>
      </w:pPr>
      <w:bookmarkStart w:id="103" w:name="_Toc157530537"/>
      <w:bookmarkEnd w:id="103"/>
      <w:bookmarkStart w:id="104" w:name="_Toc157530536"/>
      <w:bookmarkEnd w:id="104"/>
    </w:p>
    <w:p>
      <w:pPr>
        <w:spacing w:line="360" w:lineRule="auto"/>
        <w:ind w:firstLine="410"/>
        <w:rPr>
          <w:rFonts w:ascii="黑体" w:eastAsia="黑体"/>
          <w:kern w:val="0"/>
          <w:szCs w:val="20"/>
        </w:rPr>
      </w:pPr>
      <w:r>
        <w:rPr>
          <w:rFonts w:hint="eastAsia" w:ascii="黑体" w:eastAsia="黑体"/>
          <w:kern w:val="0"/>
          <w:szCs w:val="20"/>
        </w:rPr>
        <w:t xml:space="preserve">省级戒毒药物维持治疗工作组 </w:t>
      </w:r>
      <w:r>
        <w:rPr>
          <w:rFonts w:ascii="黑体" w:eastAsia="黑体"/>
          <w:kern w:val="0"/>
          <w:szCs w:val="20"/>
        </w:rPr>
        <w:t xml:space="preserve"> </w:t>
      </w:r>
      <w:r>
        <w:rPr>
          <w:rFonts w:hint="eastAsia" w:ascii="Times New Roman" w:eastAsia="黑体"/>
          <w:b/>
          <w:bCs/>
        </w:rPr>
        <w:t>provincial work group</w:t>
      </w:r>
    </w:p>
    <w:p>
      <w:pPr>
        <w:pStyle w:val="231"/>
        <w:rPr>
          <w:rFonts w:ascii="黑体" w:hAnsi="黑体" w:eastAsia="黑体"/>
        </w:rPr>
      </w:pPr>
      <w:r>
        <w:rPr>
          <w:rFonts w:hint="eastAsia"/>
        </w:rPr>
        <w:t>指省级卫生健康行政部门、省级公安机关及省级药品监督管理部门组成的戒毒药物维持治疗工作相关的联合工作组，秘书处设在省疾病预防控制中心。</w:t>
      </w:r>
      <w:bookmarkStart w:id="105" w:name="_Toc157530538"/>
      <w:bookmarkEnd w:id="105"/>
    </w:p>
    <w:p>
      <w:pPr>
        <w:pStyle w:val="104"/>
        <w:spacing w:before="312" w:after="312"/>
      </w:pPr>
      <w:bookmarkStart w:id="106" w:name="_Toc157530539"/>
      <w:bookmarkEnd w:id="106"/>
      <w:bookmarkStart w:id="107" w:name="_Toc161330699"/>
      <w:bookmarkStart w:id="108" w:name="_Toc161990818"/>
      <w:bookmarkStart w:id="109" w:name="_Toc161989460"/>
      <w:bookmarkStart w:id="110" w:name="_Toc161330771"/>
      <w:bookmarkStart w:id="111" w:name="_Toc160728547"/>
      <w:bookmarkStart w:id="112" w:name="_Toc161325757"/>
      <w:bookmarkStart w:id="113" w:name="_Toc161330602"/>
      <w:bookmarkStart w:id="114" w:name="_Toc161330818"/>
      <w:r>
        <w:rPr>
          <w:rFonts w:hint="eastAsia"/>
        </w:rPr>
        <w:t>缩略语</w:t>
      </w:r>
      <w:bookmarkEnd w:id="107"/>
      <w:bookmarkEnd w:id="108"/>
      <w:bookmarkEnd w:id="109"/>
      <w:bookmarkEnd w:id="110"/>
      <w:bookmarkEnd w:id="111"/>
      <w:bookmarkEnd w:id="112"/>
      <w:bookmarkEnd w:id="113"/>
      <w:bookmarkEnd w:id="114"/>
    </w:p>
    <w:p>
      <w:pPr>
        <w:pStyle w:val="56"/>
        <w:ind w:firstLine="420"/>
      </w:pPr>
      <w:r>
        <w:rPr>
          <w:rFonts w:hint="eastAsia"/>
        </w:rPr>
        <w:t>下列缩略语适用于本文件。</w:t>
      </w:r>
    </w:p>
    <w:p>
      <w:pPr>
        <w:pStyle w:val="56"/>
        <w:ind w:firstLine="420"/>
      </w:pPr>
      <w:r>
        <w:rPr>
          <w:rFonts w:hint="eastAsia"/>
        </w:rPr>
        <w:t>HIV：人免疫缺陷病毒（human immunodeficiency virus）</w:t>
      </w:r>
    </w:p>
    <w:p>
      <w:pPr>
        <w:pStyle w:val="56"/>
        <w:ind w:firstLine="420"/>
      </w:pPr>
      <w:r>
        <w:rPr>
          <w:rFonts w:hint="eastAsia"/>
        </w:rPr>
        <w:t>HCV：丙型肝炎病毒（hepatitis C virus）</w:t>
      </w:r>
    </w:p>
    <w:p>
      <w:pPr>
        <w:pStyle w:val="104"/>
        <w:spacing w:before="312" w:after="312"/>
      </w:pPr>
      <w:bookmarkStart w:id="115" w:name="_Toc160728548"/>
      <w:bookmarkStart w:id="116" w:name="_Toc149577100"/>
      <w:bookmarkStart w:id="117" w:name="_Toc161330700"/>
      <w:bookmarkStart w:id="118" w:name="_Toc161330603"/>
      <w:bookmarkStart w:id="119" w:name="_Toc161330772"/>
      <w:bookmarkStart w:id="120" w:name="_Toc161325758"/>
      <w:bookmarkStart w:id="121" w:name="_Toc161989461"/>
      <w:bookmarkStart w:id="122" w:name="_Toc161330819"/>
      <w:bookmarkStart w:id="123" w:name="_Toc161990819"/>
      <w:bookmarkStart w:id="124" w:name="_Hlk157780795"/>
      <w:r>
        <w:rPr>
          <w:rFonts w:hint="eastAsia"/>
        </w:rPr>
        <w:t>门诊设置</w:t>
      </w:r>
      <w:bookmarkEnd w:id="115"/>
      <w:bookmarkEnd w:id="116"/>
      <w:bookmarkEnd w:id="117"/>
      <w:bookmarkEnd w:id="118"/>
      <w:bookmarkEnd w:id="119"/>
      <w:bookmarkEnd w:id="120"/>
      <w:bookmarkEnd w:id="121"/>
      <w:bookmarkEnd w:id="122"/>
      <w:bookmarkEnd w:id="123"/>
    </w:p>
    <w:p>
      <w:pPr>
        <w:pStyle w:val="105"/>
        <w:spacing w:before="156" w:after="156"/>
        <w:ind w:left="0"/>
      </w:pPr>
      <w:bookmarkStart w:id="125" w:name="_Toc161330701"/>
      <w:bookmarkStart w:id="126" w:name="_Toc161330773"/>
      <w:bookmarkStart w:id="127" w:name="_Toc161330604"/>
      <w:bookmarkStart w:id="128" w:name="_Toc161330820"/>
      <w:bookmarkStart w:id="129" w:name="_Toc68878881"/>
      <w:r>
        <w:rPr>
          <w:rFonts w:hint="eastAsia"/>
        </w:rPr>
        <w:t>资格要求</w:t>
      </w:r>
      <w:bookmarkEnd w:id="125"/>
      <w:bookmarkEnd w:id="126"/>
      <w:bookmarkEnd w:id="127"/>
      <w:bookmarkEnd w:id="128"/>
    </w:p>
    <w:p>
      <w:pPr>
        <w:pStyle w:val="165"/>
        <w:rPr>
          <w:rFonts w:ascii="Times New Roman"/>
        </w:rPr>
      </w:pPr>
      <w:r>
        <w:rPr>
          <w:rFonts w:hint="eastAsia"/>
        </w:rPr>
        <w:t>戒毒药物维持治疗门诊应设置在非营利性医疗卫生机构，具备医疗机构执业许可证，取得麻醉药品和第一类精神药品购用印鉴卡。</w:t>
      </w:r>
    </w:p>
    <w:p>
      <w:pPr>
        <w:pStyle w:val="165"/>
        <w:rPr>
          <w:rFonts w:ascii="Times New Roman"/>
        </w:rPr>
      </w:pPr>
      <w:r>
        <w:t>设区市</w:t>
      </w:r>
      <w:r>
        <w:rPr>
          <w:rFonts w:hint="eastAsia"/>
        </w:rPr>
        <w:t>根据辖区现有阿片类物质成瘾者人数合理布门诊点。门诊应由所在医疗卫生机构向执业登记机关提出书面申请材料，并逐级向省级戒毒药物维持治疗工作组申报，经工作组秘书处验收合格开诊。</w:t>
      </w:r>
    </w:p>
    <w:p>
      <w:pPr>
        <w:pStyle w:val="105"/>
        <w:spacing w:before="156" w:after="156"/>
        <w:ind w:left="0"/>
      </w:pPr>
      <w:bookmarkStart w:id="130" w:name="_Toc161330702"/>
      <w:bookmarkStart w:id="131" w:name="_Toc161330774"/>
      <w:bookmarkStart w:id="132" w:name="_Toc161330821"/>
      <w:bookmarkStart w:id="133" w:name="_Toc161330605"/>
      <w:r>
        <w:t>制度</w:t>
      </w:r>
      <w:bookmarkEnd w:id="129"/>
      <w:r>
        <w:rPr>
          <w:rFonts w:hint="eastAsia"/>
        </w:rPr>
        <w:t>建设</w:t>
      </w:r>
      <w:bookmarkEnd w:id="130"/>
      <w:bookmarkEnd w:id="131"/>
      <w:bookmarkEnd w:id="132"/>
      <w:bookmarkEnd w:id="133"/>
    </w:p>
    <w:p>
      <w:pPr>
        <w:pStyle w:val="165"/>
        <w:numPr>
          <w:ilvl w:val="0"/>
          <w:numId w:val="0"/>
        </w:numPr>
        <w:ind w:firstLine="420" w:firstLineChars="200"/>
        <w:rPr>
          <w:rFonts w:ascii="Times New Roman"/>
        </w:rPr>
      </w:pPr>
      <w:r>
        <w:rPr>
          <w:rFonts w:hint="eastAsia"/>
        </w:rPr>
        <w:t>戒毒药物维持治疗门诊应</w:t>
      </w:r>
      <w:r>
        <w:t>有健全的组织管理制度</w:t>
      </w:r>
      <w:r>
        <w:rPr>
          <w:rFonts w:hint="eastAsia"/>
        </w:rPr>
        <w:t>，包括但不限于：</w:t>
      </w:r>
    </w:p>
    <w:p>
      <w:pPr>
        <w:pStyle w:val="174"/>
      </w:pPr>
      <w:r>
        <w:rPr>
          <w:rFonts w:hint="eastAsia"/>
        </w:rPr>
        <w:t>行政管理制度：对戒毒药物维持治疗门诊的人员组成、岗位职责、考核与考勤做出明确规定与说明；</w:t>
      </w:r>
    </w:p>
    <w:p>
      <w:pPr>
        <w:pStyle w:val="174"/>
      </w:pPr>
      <w:r>
        <w:rPr>
          <w:rFonts w:hint="eastAsia"/>
        </w:rPr>
        <w:t>医疗管理制度：对参加戒毒药物维持治疗人员的收治条件、申请参加治疗的流程、治疗方案及实验室检测项目、频次做出明确规定与说明；</w:t>
      </w:r>
    </w:p>
    <w:p>
      <w:pPr>
        <w:pStyle w:val="174"/>
      </w:pPr>
      <w:r>
        <w:rPr>
          <w:rFonts w:hint="eastAsia"/>
        </w:rPr>
        <w:t>治安管理制度：对戒毒药物维持治疗门诊工作秩序维护及安全管理做出明确规定；</w:t>
      </w:r>
    </w:p>
    <w:p>
      <w:pPr>
        <w:pStyle w:val="174"/>
      </w:pPr>
      <w:r>
        <w:rPr>
          <w:rFonts w:hint="eastAsia"/>
        </w:rPr>
        <w:t>信息档案管理制度：对戒毒药物维持治疗门诊受治者的申请材料保管与存档以及治疗信息录入、上报要求做出明确规定；</w:t>
      </w:r>
    </w:p>
    <w:p>
      <w:pPr>
        <w:pStyle w:val="174"/>
      </w:pPr>
      <w:r>
        <w:rPr>
          <w:rFonts w:hint="eastAsia"/>
        </w:rPr>
        <w:t>麻醉品管理和使用</w:t>
      </w:r>
      <w:r>
        <w:t>制度</w:t>
      </w:r>
      <w:r>
        <w:rPr>
          <w:rFonts w:hint="eastAsia"/>
        </w:rPr>
        <w:t>：依据</w:t>
      </w:r>
      <w:r>
        <w:t>《麻醉药品和精神药品管理条例》</w:t>
      </w:r>
      <w:r>
        <w:rPr>
          <w:rFonts w:hint="eastAsia"/>
        </w:rPr>
        <w:t>对戒毒药物维持治疗门诊使用的美沙酮口服液管理及使用做出明确规定。</w:t>
      </w:r>
    </w:p>
    <w:p>
      <w:pPr>
        <w:pStyle w:val="105"/>
        <w:spacing w:before="156" w:after="156"/>
        <w:ind w:left="0"/>
      </w:pPr>
      <w:bookmarkStart w:id="134" w:name="_Toc68878882"/>
      <w:bookmarkStart w:id="135" w:name="_Toc161330606"/>
      <w:bookmarkStart w:id="136" w:name="_Toc161330775"/>
      <w:bookmarkStart w:id="137" w:name="_Toc161330703"/>
      <w:bookmarkStart w:id="138" w:name="_Toc161330822"/>
      <w:r>
        <w:t>诊室要求</w:t>
      </w:r>
      <w:bookmarkEnd w:id="134"/>
      <w:bookmarkEnd w:id="135"/>
      <w:bookmarkEnd w:id="136"/>
      <w:bookmarkEnd w:id="137"/>
      <w:bookmarkEnd w:id="138"/>
    </w:p>
    <w:p>
      <w:pPr>
        <w:pStyle w:val="165"/>
        <w:rPr>
          <w:rFonts w:ascii="Times New Roman"/>
        </w:rPr>
      </w:pPr>
      <w:r>
        <w:t>设</w:t>
      </w:r>
      <w:r>
        <w:rPr>
          <w:rFonts w:hint="eastAsia"/>
        </w:rPr>
        <w:t>有候诊、咨询、治疗、资料录入、服药、保安、药库、卫生间的功能分区</w:t>
      </w:r>
      <w:r>
        <w:t>。</w:t>
      </w:r>
    </w:p>
    <w:p>
      <w:pPr>
        <w:pStyle w:val="165"/>
        <w:rPr>
          <w:rFonts w:ascii="Times New Roman"/>
        </w:rPr>
      </w:pPr>
      <w:r>
        <w:rPr>
          <w:rFonts w:hint="eastAsia"/>
        </w:rPr>
        <w:t>配备病历架、文件柜、办公桌椅、电话、互联网、药品/器械柜、体重秤、血压计、检查床、计算机、打印机、传真机、塑封机、饮水机、普通冰箱、瓶顶移液器、双锁保险柜、监视报警设备设施</w:t>
      </w:r>
      <w:r>
        <w:t>。</w:t>
      </w:r>
    </w:p>
    <w:p>
      <w:pPr>
        <w:pStyle w:val="165"/>
        <w:rPr>
          <w:rFonts w:ascii="Times New Roman"/>
        </w:rPr>
      </w:pPr>
      <w:r>
        <w:rPr>
          <w:rFonts w:hint="eastAsia"/>
        </w:rPr>
        <w:t>配备尿吗啡定性检测试剂。</w:t>
      </w:r>
    </w:p>
    <w:p>
      <w:pPr>
        <w:pStyle w:val="165"/>
        <w:rPr>
          <w:rFonts w:ascii="Times New Roman"/>
        </w:rPr>
      </w:pPr>
      <w:r>
        <w:rPr>
          <w:rFonts w:hint="eastAsia"/>
        </w:rPr>
        <w:t>具备诊治常见并发症及临时抢救急危重症的条件，配备包括但不限于纳洛酮注射剂（0.4mg/支）10支、肾上腺素、利多卡因、阿托品。</w:t>
      </w:r>
    </w:p>
    <w:p>
      <w:pPr>
        <w:pStyle w:val="105"/>
        <w:spacing w:before="156" w:after="156"/>
        <w:ind w:left="0"/>
      </w:pPr>
      <w:bookmarkStart w:id="139" w:name="_Toc161330607"/>
      <w:bookmarkStart w:id="140" w:name="_Toc161330776"/>
      <w:bookmarkStart w:id="141" w:name="_Toc161330823"/>
      <w:bookmarkStart w:id="142" w:name="_Toc161330704"/>
      <w:r>
        <w:rPr>
          <w:rFonts w:hint="eastAsia"/>
        </w:rPr>
        <w:t>工作人员要求</w:t>
      </w:r>
      <w:bookmarkEnd w:id="139"/>
      <w:bookmarkEnd w:id="140"/>
      <w:bookmarkEnd w:id="141"/>
      <w:bookmarkEnd w:id="142"/>
    </w:p>
    <w:p>
      <w:pPr>
        <w:pStyle w:val="65"/>
        <w:spacing w:before="156" w:after="156"/>
        <w:rPr>
          <w:rFonts w:eastAsia="宋体"/>
        </w:rPr>
      </w:pPr>
      <w:bookmarkStart w:id="143" w:name="_Toc161330608"/>
      <w:bookmarkStart w:id="144" w:name="_Toc161330705"/>
      <w:bookmarkStart w:id="145" w:name="_Toc161330777"/>
      <w:r>
        <w:rPr>
          <w:rFonts w:hint="eastAsia"/>
        </w:rPr>
        <w:t>负责人</w:t>
      </w:r>
      <w:bookmarkEnd w:id="143"/>
      <w:bookmarkEnd w:id="144"/>
      <w:bookmarkEnd w:id="145"/>
    </w:p>
    <w:p>
      <w:pPr>
        <w:pStyle w:val="165"/>
        <w:numPr>
          <w:ilvl w:val="0"/>
          <w:numId w:val="0"/>
        </w:numPr>
        <w:ind w:firstLine="420" w:firstLineChars="200"/>
      </w:pPr>
      <w:r>
        <w:rPr>
          <w:rFonts w:hint="eastAsia"/>
        </w:rPr>
        <w:t>应是医疗卫生机构专职人员，</w:t>
      </w:r>
      <w:r>
        <w:t>接受过专科知识培训并定期参加相关业务培训，具备独立的工作能力</w:t>
      </w:r>
      <w:r>
        <w:rPr>
          <w:rFonts w:hint="eastAsia"/>
        </w:rPr>
        <w:t>，主要负责戒毒药物维持治疗门诊的日常管理。</w:t>
      </w:r>
    </w:p>
    <w:p>
      <w:pPr>
        <w:pStyle w:val="65"/>
        <w:spacing w:before="156" w:after="156"/>
        <w:rPr>
          <w:rFonts w:ascii="宋体" w:eastAsia="宋体"/>
        </w:rPr>
      </w:pPr>
      <w:bookmarkStart w:id="146" w:name="_Toc161330609"/>
      <w:bookmarkStart w:id="147" w:name="_Toc161330778"/>
      <w:bookmarkStart w:id="148" w:name="_Toc161330706"/>
      <w:r>
        <w:t>医生</w:t>
      </w:r>
      <w:bookmarkEnd w:id="146"/>
      <w:bookmarkEnd w:id="147"/>
      <w:bookmarkEnd w:id="148"/>
    </w:p>
    <w:p>
      <w:pPr>
        <w:pStyle w:val="165"/>
        <w:numPr>
          <w:ilvl w:val="0"/>
          <w:numId w:val="0"/>
        </w:numPr>
        <w:ind w:firstLine="420" w:firstLineChars="200"/>
      </w:pPr>
      <w:r>
        <w:rPr>
          <w:rFonts w:hint="eastAsia"/>
        </w:rPr>
        <w:t>应为执业医师且取得麻醉品和第一类精神药品处方权。</w:t>
      </w:r>
      <w:r>
        <w:rPr>
          <w:rFonts w:ascii="Times New Roman"/>
        </w:rPr>
        <w:t>接受过专科知识培训并定期参加相关业务培训，具备独立的工作能力</w:t>
      </w:r>
      <w:r>
        <w:rPr>
          <w:rFonts w:hint="eastAsia" w:ascii="Times New Roman"/>
        </w:rPr>
        <w:t>，</w:t>
      </w:r>
      <w:r>
        <w:rPr>
          <w:rFonts w:hint="eastAsia"/>
        </w:rPr>
        <w:t>主要负责提供戒毒药物维持治疗、心理咨询和心理康复服务，开展艾滋病、丙型肝炎及梅毒防治健康教育及禁毒宣传。</w:t>
      </w:r>
    </w:p>
    <w:p>
      <w:pPr>
        <w:pStyle w:val="65"/>
        <w:spacing w:before="156" w:after="156"/>
      </w:pPr>
      <w:bookmarkStart w:id="149" w:name="_Toc161330779"/>
      <w:bookmarkStart w:id="150" w:name="_Toc161330610"/>
      <w:bookmarkStart w:id="151" w:name="_Toc161330707"/>
      <w:r>
        <w:rPr>
          <w:rFonts w:hint="eastAsia"/>
        </w:rPr>
        <w:t>护</w:t>
      </w:r>
      <w:bookmarkEnd w:id="149"/>
      <w:bookmarkEnd w:id="150"/>
      <w:bookmarkEnd w:id="151"/>
      <w:r>
        <w:rPr>
          <w:rFonts w:hint="eastAsia"/>
        </w:rPr>
        <w:t>理人员</w:t>
      </w:r>
    </w:p>
    <w:p>
      <w:pPr>
        <w:pStyle w:val="165"/>
        <w:numPr>
          <w:ilvl w:val="0"/>
          <w:numId w:val="0"/>
        </w:numPr>
        <w:ind w:firstLine="420" w:firstLineChars="200"/>
        <w:rPr>
          <w:rFonts w:ascii="Times New Roman"/>
        </w:rPr>
      </w:pPr>
      <w:r>
        <w:rPr>
          <w:rFonts w:hint="eastAsia" w:ascii="Times New Roman"/>
        </w:rPr>
        <w:t>应</w:t>
      </w:r>
      <w:r>
        <w:rPr>
          <w:rFonts w:ascii="Times New Roman"/>
        </w:rPr>
        <w:t>接受过专科知识培训并定期参加相关业务培训，具备独立的工作能力</w:t>
      </w:r>
      <w:r>
        <w:rPr>
          <w:rFonts w:hint="eastAsia" w:ascii="Times New Roman"/>
        </w:rPr>
        <w:t>，</w:t>
      </w:r>
      <w:r>
        <w:rPr>
          <w:rFonts w:hint="eastAsia"/>
        </w:rPr>
        <w:t>主要负责协助医生提供戒毒药物维持治疗服务、按要求开展尿吗啡检测及数据管理工作。</w:t>
      </w:r>
    </w:p>
    <w:p>
      <w:pPr>
        <w:pStyle w:val="65"/>
        <w:spacing w:before="156" w:after="156"/>
        <w:rPr>
          <w:rFonts w:ascii="宋体" w:eastAsia="宋体"/>
        </w:rPr>
      </w:pPr>
      <w:bookmarkStart w:id="152" w:name="_Toc161330708"/>
      <w:bookmarkStart w:id="153" w:name="_Toc161330611"/>
      <w:bookmarkStart w:id="154" w:name="_Toc161330780"/>
      <w:r>
        <w:rPr>
          <w:rFonts w:hint="eastAsia"/>
        </w:rPr>
        <w:t>药品管理员</w:t>
      </w:r>
      <w:bookmarkEnd w:id="152"/>
      <w:bookmarkEnd w:id="153"/>
      <w:bookmarkEnd w:id="154"/>
    </w:p>
    <w:p>
      <w:pPr>
        <w:pStyle w:val="165"/>
        <w:numPr>
          <w:ilvl w:val="0"/>
          <w:numId w:val="0"/>
        </w:numPr>
        <w:ind w:firstLine="420" w:firstLineChars="200"/>
      </w:pPr>
      <w:r>
        <w:rPr>
          <w:rFonts w:hint="eastAsia"/>
        </w:rPr>
        <w:t>至少1人应有执业药师资质。</w:t>
      </w:r>
      <w:r>
        <w:rPr>
          <w:rFonts w:ascii="Times New Roman"/>
        </w:rPr>
        <w:t>接受过专科知识培训并定期参加相关业务培训，具备独立的工作能力</w:t>
      </w:r>
      <w:r>
        <w:rPr>
          <w:rFonts w:hint="eastAsia" w:ascii="Times New Roman"/>
        </w:rPr>
        <w:t>，</w:t>
      </w:r>
      <w:r>
        <w:rPr>
          <w:rFonts w:hint="eastAsia"/>
        </w:rPr>
        <w:t>主要负责药品出入库、发药及监督受治者服药，并协助医生提供戒毒药物维持治疗服务。</w:t>
      </w:r>
    </w:p>
    <w:p>
      <w:pPr>
        <w:pStyle w:val="65"/>
        <w:spacing w:before="156" w:after="156"/>
      </w:pPr>
      <w:bookmarkStart w:id="155" w:name="_Toc161330612"/>
      <w:bookmarkStart w:id="156" w:name="_Toc161330781"/>
      <w:bookmarkStart w:id="157" w:name="_Toc161330709"/>
      <w:r>
        <w:rPr>
          <w:rFonts w:hint="eastAsia"/>
        </w:rPr>
        <w:t>专职安保工作人员</w:t>
      </w:r>
      <w:bookmarkEnd w:id="155"/>
      <w:bookmarkEnd w:id="156"/>
      <w:bookmarkEnd w:id="157"/>
    </w:p>
    <w:p>
      <w:pPr>
        <w:pStyle w:val="165"/>
        <w:numPr>
          <w:ilvl w:val="0"/>
          <w:numId w:val="0"/>
        </w:numPr>
        <w:ind w:firstLine="420" w:firstLineChars="200"/>
      </w:pPr>
      <w:r>
        <w:rPr>
          <w:rFonts w:hint="eastAsia"/>
        </w:rPr>
        <w:t>主要负责维护门诊正常工作秩序，查看门诊服药处与药库监控系统，保障药品安全及监督受治者服药。</w:t>
      </w:r>
    </w:p>
    <w:p>
      <w:pPr>
        <w:pStyle w:val="105"/>
        <w:spacing w:before="156" w:after="156"/>
        <w:ind w:left="0"/>
      </w:pPr>
      <w:bookmarkStart w:id="158" w:name="_Toc68878883"/>
      <w:bookmarkStart w:id="159" w:name="_Toc161330710"/>
      <w:bookmarkStart w:id="160" w:name="_Toc161330824"/>
      <w:bookmarkStart w:id="161" w:name="_Toc161330782"/>
      <w:bookmarkStart w:id="162" w:name="_Toc161330613"/>
      <w:r>
        <w:rPr>
          <w:rFonts w:hint="eastAsia"/>
        </w:rPr>
        <w:t>开诊</w:t>
      </w:r>
      <w:r>
        <w:t>要求</w:t>
      </w:r>
      <w:bookmarkEnd w:id="158"/>
      <w:bookmarkEnd w:id="159"/>
      <w:bookmarkEnd w:id="160"/>
      <w:bookmarkEnd w:id="161"/>
      <w:bookmarkEnd w:id="162"/>
    </w:p>
    <w:p>
      <w:pPr>
        <w:pStyle w:val="165"/>
      </w:pPr>
      <w:r>
        <w:rPr>
          <w:rFonts w:hint="eastAsia"/>
        </w:rPr>
        <w:t>建立健全有关规章制度和工作流程，并张贴上墙。</w:t>
      </w:r>
    </w:p>
    <w:p>
      <w:pPr>
        <w:pStyle w:val="165"/>
        <w:rPr>
          <w:rFonts w:ascii="Times New Roman"/>
        </w:rPr>
      </w:pPr>
      <w:r>
        <w:rPr>
          <w:rFonts w:hint="eastAsia"/>
        </w:rPr>
        <w:t>门诊设备、工作人员、材料及药品到位。</w:t>
      </w:r>
    </w:p>
    <w:p>
      <w:pPr>
        <w:pStyle w:val="165"/>
        <w:rPr>
          <w:rFonts w:ascii="Times New Roman"/>
        </w:rPr>
      </w:pPr>
      <w:r>
        <w:rPr>
          <w:rFonts w:hint="eastAsia"/>
        </w:rPr>
        <w:t>参加戒毒药物维持治疗人员准备就绪。</w:t>
      </w:r>
    </w:p>
    <w:p>
      <w:pPr>
        <w:pStyle w:val="105"/>
        <w:spacing w:before="156" w:after="156"/>
        <w:ind w:left="0"/>
      </w:pPr>
      <w:bookmarkStart w:id="163" w:name="_Toc161330614"/>
      <w:bookmarkStart w:id="164" w:name="_Toc161330711"/>
      <w:bookmarkStart w:id="165" w:name="_Toc161330825"/>
      <w:bookmarkStart w:id="166" w:name="_Toc161330783"/>
      <w:r>
        <w:rPr>
          <w:rFonts w:hint="eastAsia"/>
        </w:rPr>
        <w:t>撤销及合并要求</w:t>
      </w:r>
      <w:bookmarkEnd w:id="163"/>
      <w:bookmarkEnd w:id="164"/>
      <w:bookmarkEnd w:id="165"/>
      <w:bookmarkEnd w:id="166"/>
    </w:p>
    <w:p>
      <w:pPr>
        <w:pStyle w:val="165"/>
      </w:pPr>
      <w:r>
        <w:rPr>
          <w:rFonts w:hint="eastAsia"/>
        </w:rPr>
        <w:t>门诊连续</w:t>
      </w:r>
      <w:r>
        <w:t>90</w:t>
      </w:r>
      <w:r>
        <w:rPr>
          <w:rFonts w:hint="eastAsia"/>
        </w:rPr>
        <w:t>天内无本地受治者及外地转入的受治者接受治疗，可申请撤销。</w:t>
      </w:r>
    </w:p>
    <w:p>
      <w:pPr>
        <w:pStyle w:val="165"/>
      </w:pPr>
      <w:r>
        <w:rPr>
          <w:rFonts w:hint="eastAsia"/>
        </w:rPr>
        <w:t>门诊连续9</w:t>
      </w:r>
      <w:r>
        <w:t>0</w:t>
      </w:r>
      <w:r>
        <w:rPr>
          <w:rFonts w:hint="eastAsia"/>
        </w:rPr>
        <w:t>天内受治者人数低于5人，且距离本市其它门诊交通方便，可申请并入其它门诊。</w:t>
      </w:r>
    </w:p>
    <w:p>
      <w:pPr>
        <w:pStyle w:val="165"/>
      </w:pPr>
      <w:r>
        <w:rPr>
          <w:rFonts w:hint="eastAsia"/>
        </w:rPr>
        <w:t>门诊合并前应公示至少一周，确保每位受治者知情，并为其做好转诊手续。</w:t>
      </w:r>
    </w:p>
    <w:p>
      <w:pPr>
        <w:pStyle w:val="165"/>
      </w:pPr>
      <w:r>
        <w:rPr>
          <w:rFonts w:hint="eastAsia"/>
        </w:rPr>
        <w:t>申请撤销、合并的门诊应逐级向省级戒毒药物维持治疗工作组报批并抄送设区市卫生健康行政部门。</w:t>
      </w:r>
    </w:p>
    <w:p>
      <w:pPr>
        <w:pStyle w:val="105"/>
        <w:spacing w:before="156" w:after="156"/>
        <w:ind w:left="15" w:hanging="14" w:hangingChars="7"/>
        <w:jc w:val="left"/>
      </w:pPr>
      <w:r>
        <w:rPr>
          <w:rFonts w:hint="eastAsia"/>
        </w:rPr>
        <w:t>延伸服药点要求</w:t>
      </w:r>
    </w:p>
    <w:p>
      <w:pPr>
        <w:pStyle w:val="165"/>
        <w:numPr>
          <w:ilvl w:val="3"/>
          <w:numId w:val="0"/>
        </w:numPr>
        <w:ind w:firstLine="420" w:firstLineChars="200"/>
      </w:pPr>
      <w:r>
        <w:rPr>
          <w:rFonts w:hint="eastAsia"/>
        </w:rPr>
        <w:t>为向受治者每日服药提供便利或因收治人数过低，门诊可根据实际工作需要，依托医疗卫生机构设置延伸服药点，医疗机构应当具有《医疗机构执业许可证》、麻醉药品和第一类精神药品购用印鉴卡，具备开展戒毒药物维持治疗工作相适应的医护人员和房屋等条件。</w:t>
      </w:r>
    </w:p>
    <w:p>
      <w:pPr>
        <w:pStyle w:val="104"/>
        <w:spacing w:before="312" w:after="312"/>
      </w:pPr>
      <w:bookmarkStart w:id="167" w:name="_Toc161325759"/>
      <w:bookmarkStart w:id="168" w:name="_Toc161330615"/>
      <w:bookmarkStart w:id="169" w:name="_Toc161330712"/>
      <w:bookmarkStart w:id="170" w:name="_Toc160728549"/>
      <w:bookmarkStart w:id="171" w:name="_Toc161330784"/>
      <w:bookmarkStart w:id="172" w:name="_Toc161330826"/>
      <w:bookmarkStart w:id="173" w:name="_Toc161990820"/>
      <w:bookmarkStart w:id="174" w:name="_Toc161989462"/>
      <w:bookmarkStart w:id="175" w:name="_Toc149577101"/>
      <w:bookmarkStart w:id="176" w:name="_Toc68880977"/>
      <w:r>
        <w:rPr>
          <w:rFonts w:hint="eastAsia"/>
        </w:rPr>
        <w:t>治疗内容</w:t>
      </w:r>
      <w:bookmarkEnd w:id="167"/>
      <w:bookmarkEnd w:id="168"/>
      <w:bookmarkEnd w:id="169"/>
      <w:bookmarkEnd w:id="170"/>
      <w:bookmarkEnd w:id="171"/>
      <w:bookmarkEnd w:id="172"/>
      <w:bookmarkEnd w:id="173"/>
      <w:bookmarkEnd w:id="174"/>
      <w:bookmarkEnd w:id="175"/>
    </w:p>
    <w:p>
      <w:pPr>
        <w:pStyle w:val="105"/>
        <w:spacing w:before="156" w:after="156"/>
        <w:ind w:left="0"/>
      </w:pPr>
      <w:bookmarkStart w:id="177" w:name="_Toc161330713"/>
      <w:bookmarkStart w:id="178" w:name="_Toc161330827"/>
      <w:bookmarkStart w:id="179" w:name="_Toc161330785"/>
      <w:bookmarkStart w:id="180" w:name="_Toc161330616"/>
      <w:r>
        <w:rPr>
          <w:rFonts w:hint="eastAsia"/>
        </w:rPr>
        <w:t>受治者条件</w:t>
      </w:r>
      <w:bookmarkEnd w:id="177"/>
      <w:bookmarkEnd w:id="178"/>
      <w:bookmarkEnd w:id="179"/>
      <w:bookmarkEnd w:id="180"/>
    </w:p>
    <w:p>
      <w:pPr>
        <w:pStyle w:val="165"/>
        <w:rPr>
          <w:rFonts w:hAnsi="宋体"/>
        </w:rPr>
      </w:pPr>
      <w:r>
        <w:t>年龄在18周岁以上、有完全民事行为能力的阿片类物质成瘾者，可按照自愿的原则申请参加维持治疗。</w:t>
      </w:r>
    </w:p>
    <w:p>
      <w:pPr>
        <w:pStyle w:val="165"/>
        <w:rPr>
          <w:rFonts w:hAnsi="宋体"/>
        </w:rPr>
      </w:pPr>
      <w:r>
        <w:rPr>
          <w:rFonts w:hint="eastAsia"/>
        </w:rPr>
        <w:t>年龄在</w:t>
      </w:r>
      <w:r>
        <w:t>18周岁以下的阿片类物质成瘾者，采取其他戒毒措施无效且经其监护人书面同意，可申请参加维持治疗。</w:t>
      </w:r>
    </w:p>
    <w:p>
      <w:pPr>
        <w:pStyle w:val="165"/>
        <w:rPr>
          <w:rFonts w:hAnsi="宋体"/>
        </w:rPr>
      </w:pPr>
      <w:r>
        <w:t>有治疗禁忌症的，暂不宜接受维持治疗。禁忌症治愈后，可申请参加维持治疗。</w:t>
      </w:r>
    </w:p>
    <w:p>
      <w:pPr>
        <w:pStyle w:val="105"/>
        <w:spacing w:before="156" w:after="156"/>
        <w:ind w:left="0"/>
      </w:pPr>
      <w:bookmarkStart w:id="181" w:name="_Toc161330786"/>
      <w:bookmarkStart w:id="182" w:name="_Toc161330828"/>
      <w:bookmarkStart w:id="183" w:name="_Toc161330714"/>
      <w:bookmarkStart w:id="184" w:name="_Toc161330617"/>
      <w:r>
        <w:rPr>
          <w:rFonts w:hint="eastAsia"/>
        </w:rPr>
        <w:t>资料要求</w:t>
      </w:r>
    </w:p>
    <w:p>
      <w:pPr>
        <w:pStyle w:val="165"/>
        <w:rPr>
          <w:rFonts w:ascii="黑体" w:eastAsia="黑体"/>
        </w:rPr>
      </w:pPr>
      <w:r>
        <w:rPr>
          <w:rFonts w:hint="eastAsia" w:ascii="黑体" w:eastAsia="黑体"/>
        </w:rPr>
        <w:t>基本要求</w:t>
      </w:r>
    </w:p>
    <w:p>
      <w:pPr>
        <w:pStyle w:val="165"/>
        <w:numPr>
          <w:ilvl w:val="3"/>
          <w:numId w:val="0"/>
        </w:numPr>
        <w:rPr>
          <w:rFonts w:ascii="黑体" w:eastAsia="黑体"/>
        </w:rPr>
      </w:pPr>
      <w:r>
        <w:rPr>
          <w:rFonts w:hint="eastAsia" w:ascii="黑体" w:eastAsia="黑体"/>
        </w:rPr>
        <w:t xml:space="preserve">    </w:t>
      </w:r>
      <w:r>
        <w:rPr>
          <w:rFonts w:hint="eastAsia"/>
        </w:rPr>
        <w:t>按每名受治者入组治疗的时间顺序给予其唯一的4位数治疗编号，</w:t>
      </w:r>
      <w:r>
        <w:t>按照一人一账模式建立治疗档案，</w:t>
      </w:r>
      <w:r>
        <w:rPr>
          <w:rFonts w:hint="eastAsia"/>
        </w:rPr>
        <w:t>使用</w:t>
      </w:r>
      <w:r>
        <w:t>独立上锁的文件柜和房间存放</w:t>
      </w:r>
      <w:r>
        <w:rPr>
          <w:rFonts w:hint="eastAsia"/>
        </w:rPr>
        <w:t>受治</w:t>
      </w:r>
      <w:r>
        <w:t>者病历档案资料。</w:t>
      </w:r>
    </w:p>
    <w:p>
      <w:pPr>
        <w:pStyle w:val="165"/>
        <w:rPr>
          <w:rFonts w:ascii="黑体" w:eastAsia="黑体"/>
        </w:rPr>
      </w:pPr>
      <w:r>
        <w:rPr>
          <w:rFonts w:hint="eastAsia" w:ascii="黑体" w:eastAsia="黑体"/>
        </w:rPr>
        <w:t>基线资料</w:t>
      </w:r>
    </w:p>
    <w:p>
      <w:pPr>
        <w:spacing w:line="240" w:lineRule="auto"/>
        <w:ind w:firstLine="420"/>
        <w:rPr>
          <w:rFonts w:ascii="黑体" w:hAnsi="Times New Roman" w:eastAsia="黑体"/>
        </w:rPr>
      </w:pPr>
      <w:r>
        <w:t>包括</w:t>
      </w:r>
      <w:r>
        <w:rPr>
          <w:rFonts w:hint="eastAsia"/>
        </w:rPr>
        <w:t>阿片类物质成瘾者参加戒毒药物维持治疗个人申请表、</w:t>
      </w:r>
      <w:r>
        <w:t>身份证复印件、</w:t>
      </w:r>
      <w:r>
        <w:rPr>
          <w:rFonts w:hint="eastAsia"/>
        </w:rPr>
        <w:t>吸毒经历书面证明材料</w:t>
      </w:r>
      <w:r>
        <w:t>、</w:t>
      </w:r>
      <w:r>
        <w:rPr>
          <w:rFonts w:hint="eastAsia"/>
        </w:rPr>
        <w:t>检查项目报告、HIV抗体确证阳性报告（如为HIV感染者）、参加维持治疗协议书</w:t>
      </w:r>
      <w:r>
        <w:t>。</w:t>
      </w:r>
    </w:p>
    <w:p>
      <w:pPr>
        <w:pStyle w:val="105"/>
        <w:spacing w:before="156" w:after="156"/>
        <w:ind w:left="0"/>
      </w:pPr>
      <w:r>
        <w:rPr>
          <w:rFonts w:hint="eastAsia"/>
        </w:rPr>
        <w:t>药物剂量</w:t>
      </w:r>
      <w:bookmarkEnd w:id="181"/>
      <w:bookmarkEnd w:id="182"/>
      <w:bookmarkEnd w:id="183"/>
      <w:bookmarkEnd w:id="184"/>
    </w:p>
    <w:p>
      <w:pPr>
        <w:pStyle w:val="231"/>
        <w:ind w:firstLine="0" w:firstLineChars="0"/>
      </w:pPr>
      <w:r>
        <w:rPr>
          <w:rFonts w:hint="eastAsia"/>
        </w:rPr>
        <w:t xml:space="preserve">    在戒毒药物维持治疗门诊使用的药物为美沙酮口服液，规格为1mg/m</w:t>
      </w:r>
      <w:r>
        <w:t>L</w:t>
      </w:r>
      <w:r>
        <w:rPr>
          <w:rFonts w:hint="eastAsia"/>
        </w:rPr>
        <w:t>，等效剂量为1mg美沙酮=2mg海洛因=4mg吗啡=20mg杜冷丁。</w:t>
      </w:r>
    </w:p>
    <w:p>
      <w:pPr>
        <w:pStyle w:val="105"/>
        <w:spacing w:before="156" w:after="156"/>
        <w:ind w:left="0"/>
      </w:pPr>
      <w:bookmarkStart w:id="185" w:name="_Toc161330618"/>
      <w:bookmarkStart w:id="186" w:name="_Toc161330787"/>
      <w:bookmarkStart w:id="187" w:name="_Toc161330829"/>
      <w:bookmarkStart w:id="188" w:name="_Toc161330715"/>
      <w:r>
        <w:rPr>
          <w:rFonts w:hint="eastAsia"/>
        </w:rPr>
        <w:t>首次治疗</w:t>
      </w:r>
      <w:bookmarkEnd w:id="185"/>
      <w:bookmarkEnd w:id="186"/>
      <w:bookmarkEnd w:id="187"/>
      <w:bookmarkEnd w:id="188"/>
      <w:r>
        <w:rPr>
          <w:rFonts w:hint="eastAsia"/>
        </w:rPr>
        <w:t xml:space="preserve"> </w:t>
      </w:r>
    </w:p>
    <w:p>
      <w:pPr>
        <w:pStyle w:val="231"/>
        <w:ind w:firstLine="0" w:firstLineChars="0"/>
      </w:pPr>
      <w:r>
        <w:rPr>
          <w:rFonts w:hint="eastAsia"/>
        </w:rPr>
        <w:t xml:space="preserve">    根据阿片类物质成瘾者自述的物质滥用种类、每日使用的重量及末次使用时间，确定首次服药时间与剂量。首次服药时间应在末次使用海洛因4h后，或使用美沙酮、丁丙诺啡24h后。首次服药剂量予以低剂量，不宜超过40mg。首次服药后如出现难以忍受的戒断症状，可在3h之后，24h内追加服药一次，间隔时间越短，追加剂量越小，第一天用药总量不宜超过50mg。医生应要求受治者不得私自滥用阿片类物质，以免出现过量中毒的危险。</w:t>
      </w:r>
    </w:p>
    <w:p>
      <w:pPr>
        <w:pStyle w:val="105"/>
        <w:spacing w:before="156" w:after="156"/>
        <w:ind w:left="0"/>
      </w:pPr>
      <w:bookmarkStart w:id="189" w:name="_Toc161330788"/>
      <w:bookmarkStart w:id="190" w:name="_Toc161330716"/>
      <w:bookmarkStart w:id="191" w:name="_Toc161330619"/>
      <w:bookmarkStart w:id="192" w:name="_Toc161330830"/>
      <w:r>
        <w:rPr>
          <w:rFonts w:hint="eastAsia"/>
        </w:rPr>
        <w:t>初始阶段</w:t>
      </w:r>
      <w:bookmarkEnd w:id="189"/>
      <w:bookmarkEnd w:id="190"/>
      <w:bookmarkEnd w:id="191"/>
      <w:bookmarkEnd w:id="192"/>
      <w:r>
        <w:rPr>
          <w:rFonts w:hint="eastAsia"/>
        </w:rPr>
        <w:t xml:space="preserve"> </w:t>
      </w:r>
    </w:p>
    <w:p>
      <w:pPr>
        <w:pStyle w:val="231"/>
        <w:ind w:firstLine="0" w:firstLineChars="0"/>
      </w:pPr>
      <w:r>
        <w:rPr>
          <w:rFonts w:hint="eastAsia"/>
        </w:rPr>
        <w:t xml:space="preserve">    以减轻与控制戒断症状及不良反应的出现为原则，缓解受治者的戒断症状，达到耐受水平，该阶段一般为1天</w:t>
      </w:r>
      <w:r>
        <w:rPr>
          <w:rFonts w:ascii="Times New Roman" w:hAnsi="Times New Roman"/>
        </w:rPr>
        <w:t>～</w:t>
      </w:r>
      <w:r>
        <w:rPr>
          <w:rFonts w:hint="eastAsia"/>
        </w:rPr>
        <w:t>2天。</w:t>
      </w:r>
    </w:p>
    <w:p>
      <w:pPr>
        <w:pStyle w:val="105"/>
        <w:spacing w:before="156" w:after="156"/>
        <w:ind w:left="0"/>
      </w:pPr>
      <w:bookmarkStart w:id="193" w:name="_Toc161330789"/>
      <w:bookmarkStart w:id="194" w:name="_Toc161330831"/>
      <w:bookmarkStart w:id="195" w:name="_Toc161330620"/>
      <w:bookmarkStart w:id="196" w:name="_Toc161330717"/>
      <w:r>
        <w:rPr>
          <w:rFonts w:hint="eastAsia"/>
        </w:rPr>
        <w:t>调整阶段</w:t>
      </w:r>
      <w:bookmarkEnd w:id="193"/>
      <w:bookmarkEnd w:id="194"/>
      <w:bookmarkEnd w:id="195"/>
      <w:bookmarkEnd w:id="196"/>
      <w:r>
        <w:rPr>
          <w:rFonts w:hint="eastAsia"/>
        </w:rPr>
        <w:t xml:space="preserve"> </w:t>
      </w:r>
    </w:p>
    <w:p>
      <w:pPr>
        <w:pStyle w:val="231"/>
        <w:ind w:firstLine="0" w:firstLineChars="0"/>
      </w:pPr>
      <w:r>
        <w:rPr>
          <w:rFonts w:hint="eastAsia"/>
        </w:rPr>
        <w:t xml:space="preserve">    根据受治者自述及医生查体情况调整剂量，确定适合每名受治者的个体化剂量，减轻对阿片类物质的渴求感。每5天</w:t>
      </w:r>
      <w:r>
        <w:rPr>
          <w:rFonts w:ascii="Times New Roman" w:hAnsi="Times New Roman"/>
        </w:rPr>
        <w:t>～</w:t>
      </w:r>
      <w:r>
        <w:rPr>
          <w:rFonts w:hint="eastAsia"/>
        </w:rPr>
        <w:t>10天调整5mg</w:t>
      </w:r>
      <w:r>
        <w:rPr>
          <w:rFonts w:ascii="Times New Roman" w:hAnsi="Times New Roman"/>
        </w:rPr>
        <w:t>～</w:t>
      </w:r>
      <w:r>
        <w:rPr>
          <w:rFonts w:hint="eastAsia"/>
        </w:rPr>
        <w:t>10mg，每日服药剂量可达到60mg</w:t>
      </w:r>
      <w:r>
        <w:rPr>
          <w:rFonts w:ascii="Times New Roman" w:hAnsi="Times New Roman"/>
        </w:rPr>
        <w:t>～</w:t>
      </w:r>
      <w:r>
        <w:rPr>
          <w:rFonts w:hint="eastAsia"/>
        </w:rPr>
        <w:t>80mg或更高，该阶段一般为10天</w:t>
      </w:r>
      <w:r>
        <w:rPr>
          <w:rFonts w:ascii="Times New Roman" w:hAnsi="Times New Roman"/>
        </w:rPr>
        <w:t>～</w:t>
      </w:r>
      <w:r>
        <w:rPr>
          <w:rFonts w:hint="eastAsia"/>
        </w:rPr>
        <w:t>30天。</w:t>
      </w:r>
    </w:p>
    <w:p>
      <w:pPr>
        <w:pStyle w:val="105"/>
        <w:spacing w:before="156" w:after="156"/>
        <w:ind w:left="0"/>
      </w:pPr>
      <w:bookmarkStart w:id="197" w:name="_Toc161330832"/>
      <w:bookmarkStart w:id="198" w:name="_Toc161330621"/>
      <w:bookmarkStart w:id="199" w:name="_Toc161330790"/>
      <w:bookmarkStart w:id="200" w:name="_Toc161330718"/>
      <w:r>
        <w:rPr>
          <w:rFonts w:hint="eastAsia"/>
        </w:rPr>
        <w:t>维持阶段</w:t>
      </w:r>
      <w:bookmarkEnd w:id="197"/>
      <w:bookmarkEnd w:id="198"/>
      <w:bookmarkEnd w:id="199"/>
      <w:bookmarkEnd w:id="200"/>
    </w:p>
    <w:p>
      <w:pPr>
        <w:pStyle w:val="231"/>
        <w:ind w:firstLineChars="0"/>
      </w:pPr>
      <w:r>
        <w:rPr>
          <w:rFonts w:hint="eastAsia"/>
        </w:rPr>
        <w:t>通过向受治者发放合适、足够剂量的药品，控制戒断症状的出现，并减轻和阻断对毒品的渴求，预防其偷吸毒品。中等程度的阿片类物质成瘾者治疗剂量约为60mg/天，每天应到门诊按医嘱服药。</w:t>
      </w:r>
    </w:p>
    <w:p>
      <w:pPr>
        <w:pStyle w:val="105"/>
        <w:spacing w:before="156" w:after="156"/>
        <w:ind w:left="0"/>
      </w:pPr>
      <w:r>
        <w:rPr>
          <w:rFonts w:hint="eastAsia"/>
        </w:rPr>
        <w:t>退出治疗</w:t>
      </w:r>
    </w:p>
    <w:p>
      <w:pPr>
        <w:pStyle w:val="65"/>
        <w:spacing w:before="156" w:after="156"/>
        <w:rPr>
          <w:rFonts w:ascii="宋体" w:hAnsi="宋体" w:eastAsia="宋体"/>
        </w:rPr>
      </w:pPr>
      <w:bookmarkStart w:id="201" w:name="_Toc161330642"/>
      <w:bookmarkStart w:id="202" w:name="_Toc161330809"/>
      <w:bookmarkStart w:id="203" w:name="_Toc161330739"/>
      <w:r>
        <w:rPr>
          <w:rFonts w:ascii="宋体" w:hAnsi="宋体" w:eastAsia="宋体"/>
        </w:rPr>
        <w:t>最</w:t>
      </w:r>
      <w:r>
        <w:rPr>
          <w:rFonts w:hint="eastAsia" w:ascii="宋体" w:hAnsi="宋体" w:eastAsia="宋体"/>
        </w:rPr>
        <w:t>后</w:t>
      </w:r>
      <w:r>
        <w:rPr>
          <w:rFonts w:ascii="宋体" w:hAnsi="宋体" w:eastAsia="宋体"/>
        </w:rPr>
        <w:t>一次</w:t>
      </w:r>
      <w:r>
        <w:rPr>
          <w:rFonts w:hint="eastAsia" w:ascii="宋体" w:hAnsi="宋体" w:eastAsia="宋体"/>
        </w:rPr>
        <w:t>服药时间后30天未有服药记录的受治</w:t>
      </w:r>
      <w:r>
        <w:rPr>
          <w:rFonts w:ascii="宋体" w:hAnsi="宋体" w:eastAsia="宋体"/>
        </w:rPr>
        <w:t>者</w:t>
      </w:r>
      <w:r>
        <w:rPr>
          <w:rFonts w:hint="eastAsia" w:ascii="宋体" w:hAnsi="宋体" w:eastAsia="宋体"/>
        </w:rPr>
        <w:t>，信息</w:t>
      </w:r>
      <w:r>
        <w:rPr>
          <w:rFonts w:ascii="宋体" w:hAnsi="宋体" w:eastAsia="宋体"/>
        </w:rPr>
        <w:t>系统自动判定</w:t>
      </w:r>
      <w:r>
        <w:rPr>
          <w:rFonts w:hint="eastAsia" w:ascii="宋体" w:hAnsi="宋体" w:eastAsia="宋体"/>
        </w:rPr>
        <w:t>其退出治疗</w:t>
      </w:r>
      <w:r>
        <w:rPr>
          <w:rFonts w:ascii="宋体" w:hAnsi="宋体" w:eastAsia="宋体"/>
        </w:rPr>
        <w:t>。</w:t>
      </w:r>
      <w:bookmarkEnd w:id="201"/>
      <w:bookmarkEnd w:id="202"/>
      <w:bookmarkEnd w:id="203"/>
    </w:p>
    <w:p>
      <w:pPr>
        <w:pStyle w:val="65"/>
        <w:spacing w:before="156" w:after="156"/>
        <w:rPr>
          <w:rFonts w:ascii="宋体" w:hAnsi="宋体" w:eastAsia="宋体"/>
        </w:rPr>
      </w:pPr>
      <w:bookmarkStart w:id="204" w:name="_Toc161330643"/>
      <w:bookmarkStart w:id="205" w:name="_Toc161330810"/>
      <w:bookmarkStart w:id="206" w:name="_Toc161330740"/>
      <w:r>
        <w:rPr>
          <w:rFonts w:hint="eastAsia" w:ascii="宋体" w:hAnsi="宋体" w:eastAsia="宋体"/>
        </w:rPr>
        <w:t>门诊应</w:t>
      </w:r>
      <w:r>
        <w:rPr>
          <w:rFonts w:ascii="宋体" w:hAnsi="宋体" w:eastAsia="宋体"/>
        </w:rPr>
        <w:t>及时</w:t>
      </w:r>
      <w:r>
        <w:rPr>
          <w:rFonts w:hint="eastAsia" w:ascii="宋体" w:hAnsi="宋体" w:eastAsia="宋体"/>
        </w:rPr>
        <w:t>核实受治者的退出原因，并录入信息系统。</w:t>
      </w:r>
      <w:bookmarkEnd w:id="204"/>
      <w:bookmarkEnd w:id="205"/>
      <w:bookmarkEnd w:id="206"/>
    </w:p>
    <w:p>
      <w:pPr>
        <w:pStyle w:val="56"/>
        <w:ind w:firstLine="420"/>
      </w:pPr>
      <w:r>
        <w:rPr>
          <w:rFonts w:hint="eastAsia"/>
        </w:rPr>
        <w:t>退出原因包括以下：</w:t>
      </w:r>
    </w:p>
    <w:p>
      <w:pPr>
        <w:pStyle w:val="174"/>
        <w:numPr>
          <w:ilvl w:val="0"/>
          <w:numId w:val="33"/>
        </w:numPr>
      </w:pPr>
      <w:r>
        <w:rPr>
          <w:rFonts w:hint="eastAsia"/>
        </w:rPr>
        <w:t>因偷吸而被强制隔离戒毒；</w:t>
      </w:r>
    </w:p>
    <w:p>
      <w:pPr>
        <w:pStyle w:val="174"/>
      </w:pPr>
      <w:r>
        <w:rPr>
          <w:rFonts w:hint="eastAsia"/>
        </w:rPr>
        <w:t>因与毒品无关的违法犯罪被抓；</w:t>
      </w:r>
    </w:p>
    <w:p>
      <w:pPr>
        <w:pStyle w:val="174"/>
      </w:pPr>
      <w:r>
        <w:rPr>
          <w:rFonts w:hint="eastAsia"/>
        </w:rPr>
        <w:t>经济困难；</w:t>
      </w:r>
    </w:p>
    <w:p>
      <w:pPr>
        <w:pStyle w:val="174"/>
      </w:pPr>
      <w:r>
        <w:rPr>
          <w:rFonts w:hint="eastAsia"/>
        </w:rPr>
        <w:t>死亡；</w:t>
      </w:r>
    </w:p>
    <w:p>
      <w:pPr>
        <w:pStyle w:val="174"/>
      </w:pPr>
      <w:r>
        <w:rPr>
          <w:rFonts w:hint="eastAsia"/>
        </w:rPr>
        <w:t>药物副作用/过敏；</w:t>
      </w:r>
    </w:p>
    <w:p>
      <w:pPr>
        <w:pStyle w:val="174"/>
      </w:pPr>
      <w:r>
        <w:rPr>
          <w:rFonts w:hint="eastAsia"/>
        </w:rPr>
        <w:t>疾病；</w:t>
      </w:r>
    </w:p>
    <w:p>
      <w:pPr>
        <w:pStyle w:val="174"/>
      </w:pPr>
      <w:r>
        <w:rPr>
          <w:rFonts w:hint="eastAsia"/>
        </w:rPr>
        <w:t>怀孕；</w:t>
      </w:r>
    </w:p>
    <w:p>
      <w:pPr>
        <w:pStyle w:val="174"/>
      </w:pPr>
      <w:r>
        <w:rPr>
          <w:rFonts w:hint="eastAsia"/>
        </w:rPr>
        <w:t>外出；</w:t>
      </w:r>
    </w:p>
    <w:p>
      <w:pPr>
        <w:pStyle w:val="174"/>
      </w:pPr>
      <w:r>
        <w:rPr>
          <w:rFonts w:hint="eastAsia"/>
        </w:rPr>
        <w:t>自认为戒断，不再需要维持治疗；</w:t>
      </w:r>
    </w:p>
    <w:p>
      <w:pPr>
        <w:pStyle w:val="174"/>
      </w:pPr>
      <w:r>
        <w:rPr>
          <w:rFonts w:hint="eastAsia"/>
        </w:rPr>
        <w:t>殴打门诊工作人员；</w:t>
      </w:r>
    </w:p>
    <w:p>
      <w:pPr>
        <w:pStyle w:val="174"/>
      </w:pPr>
      <w:r>
        <w:rPr>
          <w:rFonts w:hint="eastAsia"/>
        </w:rPr>
        <w:t>有偷带药行为；</w:t>
      </w:r>
    </w:p>
    <w:p>
      <w:pPr>
        <w:pStyle w:val="174"/>
      </w:pPr>
      <w:r>
        <w:rPr>
          <w:rFonts w:hint="eastAsia"/>
        </w:rPr>
        <w:t>其他。</w:t>
      </w:r>
    </w:p>
    <w:p>
      <w:pPr>
        <w:pStyle w:val="65"/>
        <w:spacing w:before="156" w:after="156"/>
        <w:rPr>
          <w:rFonts w:ascii="宋体" w:hAnsi="宋体" w:eastAsia="宋体"/>
        </w:rPr>
      </w:pPr>
      <w:bookmarkStart w:id="207" w:name="_Toc161330811"/>
      <w:bookmarkStart w:id="208" w:name="_Toc161330644"/>
      <w:bookmarkStart w:id="209" w:name="_Toc161330741"/>
      <w:r>
        <w:rPr>
          <w:rFonts w:hint="eastAsia" w:ascii="宋体" w:hAnsi="宋体" w:eastAsia="宋体"/>
        </w:rPr>
        <w:t>门诊重新入组的受治者使用其原有的治疗编号，治疗流程按照新入组者处置。</w:t>
      </w:r>
      <w:bookmarkEnd w:id="207"/>
      <w:bookmarkEnd w:id="208"/>
      <w:bookmarkEnd w:id="209"/>
    </w:p>
    <w:p>
      <w:pPr>
        <w:sectPr>
          <w:pgSz w:w="11906" w:h="16838"/>
          <w:pgMar w:top="1928" w:right="1134" w:bottom="1134" w:left="1134" w:header="1418" w:footer="1134" w:gutter="284"/>
          <w:cols w:space="425" w:num="1"/>
          <w:formProt w:val="0"/>
          <w:docGrid w:type="lines" w:linePitch="312" w:charSpace="0"/>
        </w:sectPr>
      </w:pPr>
    </w:p>
    <w:p>
      <w:pPr>
        <w:pStyle w:val="104"/>
        <w:spacing w:before="312" w:after="312"/>
      </w:pPr>
      <w:bookmarkStart w:id="210" w:name="_Toc160728550"/>
      <w:bookmarkStart w:id="211" w:name="_Toc161330833"/>
      <w:bookmarkStart w:id="212" w:name="_Toc161989463"/>
      <w:bookmarkStart w:id="213" w:name="_Toc149577102"/>
      <w:bookmarkStart w:id="214" w:name="_Toc161330791"/>
      <w:bookmarkStart w:id="215" w:name="_Toc161325760"/>
      <w:bookmarkStart w:id="216" w:name="_Toc161330622"/>
      <w:bookmarkStart w:id="217" w:name="_Toc161330719"/>
      <w:bookmarkStart w:id="218" w:name="_Toc161990821"/>
      <w:r>
        <w:rPr>
          <w:rFonts w:hint="eastAsia"/>
        </w:rPr>
        <w:t>治疗流程</w:t>
      </w:r>
      <w:bookmarkEnd w:id="210"/>
      <w:bookmarkEnd w:id="211"/>
      <w:bookmarkEnd w:id="212"/>
      <w:bookmarkEnd w:id="213"/>
      <w:bookmarkEnd w:id="214"/>
      <w:bookmarkEnd w:id="215"/>
      <w:bookmarkEnd w:id="216"/>
      <w:bookmarkEnd w:id="217"/>
      <w:bookmarkEnd w:id="218"/>
    </w:p>
    <w:p>
      <w:pPr>
        <w:pStyle w:val="105"/>
        <w:spacing w:before="156" w:after="156"/>
        <w:ind w:left="0"/>
      </w:pPr>
      <w:bookmarkStart w:id="219" w:name="_Toc161330720"/>
      <w:bookmarkStart w:id="220" w:name="_Toc161330623"/>
      <w:bookmarkStart w:id="221" w:name="_Toc161330792"/>
      <w:bookmarkStart w:id="222" w:name="_Toc161330834"/>
      <w:r>
        <w:rPr>
          <w:rFonts w:hint="eastAsia"/>
        </w:rPr>
        <w:t>入组咨询</w:t>
      </w:r>
      <w:bookmarkEnd w:id="219"/>
      <w:bookmarkEnd w:id="220"/>
      <w:bookmarkEnd w:id="221"/>
      <w:bookmarkEnd w:id="222"/>
      <w:r>
        <w:rPr>
          <w:rFonts w:hint="eastAsia"/>
        </w:rPr>
        <w:t xml:space="preserve"> </w:t>
      </w:r>
    </w:p>
    <w:p>
      <w:pPr>
        <w:pStyle w:val="231"/>
        <w:ind w:firstLine="0" w:firstLineChars="0"/>
      </w:pPr>
      <w:r>
        <w:rPr>
          <w:rFonts w:hint="eastAsia"/>
        </w:rPr>
        <w:t xml:space="preserve">    阿片类物质成瘾者在咨询室出示既往戒毒证明材料，如实告知医生物质滥用种类与滥用年限，每日滥用频次与方式、用量、价格、末次滥用时间与用量，主要联系亲属姓名及联系方式。医生</w:t>
      </w:r>
      <w:r>
        <w:rPr>
          <w:rFonts w:hint="eastAsia"/>
          <w:szCs w:val="21"/>
        </w:rPr>
        <w:t>向受治者及家属宣传维持治疗的优点和维持治疗期间的注意事项。</w:t>
      </w:r>
    </w:p>
    <w:p>
      <w:pPr>
        <w:pStyle w:val="105"/>
        <w:spacing w:before="156" w:after="156"/>
        <w:ind w:left="0"/>
      </w:pPr>
      <w:bookmarkStart w:id="223" w:name="_Toc161330721"/>
      <w:bookmarkStart w:id="224" w:name="_Toc161330835"/>
      <w:bookmarkStart w:id="225" w:name="_Toc161330793"/>
      <w:bookmarkStart w:id="226" w:name="_Toc161330624"/>
      <w:r>
        <w:rPr>
          <w:rFonts w:hint="eastAsia"/>
        </w:rPr>
        <w:t>体检治疗</w:t>
      </w:r>
      <w:bookmarkEnd w:id="223"/>
      <w:bookmarkEnd w:id="224"/>
      <w:bookmarkEnd w:id="225"/>
      <w:bookmarkEnd w:id="226"/>
      <w:r>
        <w:rPr>
          <w:rFonts w:hint="eastAsia"/>
        </w:rPr>
        <w:t xml:space="preserve"> </w:t>
      </w:r>
    </w:p>
    <w:p>
      <w:pPr>
        <w:pStyle w:val="165"/>
      </w:pPr>
      <w:bookmarkStart w:id="227" w:name="_Toc161330722"/>
      <w:bookmarkStart w:id="228" w:name="_Toc161330625"/>
      <w:r>
        <w:rPr>
          <w:rFonts w:hint="eastAsia"/>
        </w:rPr>
        <w:t>医生为阿片类物质成瘾者开具检查项目，评估其基础健康状况，确定可以参加戒毒药物维持治疗。</w:t>
      </w:r>
      <w:r>
        <w:t>包括</w:t>
      </w:r>
      <w:r>
        <w:rPr>
          <w:rFonts w:hint="eastAsia"/>
        </w:rPr>
        <w:t>但不限于：</w:t>
      </w:r>
      <w:bookmarkEnd w:id="227"/>
      <w:bookmarkEnd w:id="228"/>
    </w:p>
    <w:p>
      <w:pPr>
        <w:pStyle w:val="174"/>
        <w:numPr>
          <w:ilvl w:val="0"/>
          <w:numId w:val="34"/>
        </w:numPr>
      </w:pPr>
      <w:r>
        <w:t>血常规</w:t>
      </w:r>
      <w:r>
        <w:rPr>
          <w:rFonts w:hint="eastAsia"/>
        </w:rPr>
        <w:t>；</w:t>
      </w:r>
    </w:p>
    <w:p>
      <w:pPr>
        <w:pStyle w:val="174"/>
      </w:pPr>
      <w:r>
        <w:rPr>
          <w:rFonts w:hint="eastAsia"/>
        </w:rPr>
        <w:t>肝肾功能；</w:t>
      </w:r>
    </w:p>
    <w:p>
      <w:pPr>
        <w:pStyle w:val="174"/>
      </w:pPr>
      <w:r>
        <w:rPr>
          <w:rFonts w:hint="eastAsia"/>
        </w:rPr>
        <w:t>尿吗啡；</w:t>
      </w:r>
    </w:p>
    <w:p>
      <w:pPr>
        <w:pStyle w:val="174"/>
      </w:pPr>
      <w:r>
        <w:rPr>
          <w:rFonts w:hint="eastAsia"/>
        </w:rPr>
        <w:t>HIV；</w:t>
      </w:r>
    </w:p>
    <w:p>
      <w:pPr>
        <w:pStyle w:val="174"/>
      </w:pPr>
      <w:r>
        <w:t>HCV</w:t>
      </w:r>
      <w:r>
        <w:rPr>
          <w:rFonts w:hint="eastAsia"/>
        </w:rPr>
        <w:t>；</w:t>
      </w:r>
    </w:p>
    <w:p>
      <w:pPr>
        <w:pStyle w:val="174"/>
      </w:pPr>
      <w:r>
        <w:t>梅毒</w:t>
      </w:r>
      <w:r>
        <w:rPr>
          <w:rFonts w:hint="eastAsia"/>
        </w:rPr>
        <w:t>；</w:t>
      </w:r>
    </w:p>
    <w:p>
      <w:pPr>
        <w:pStyle w:val="174"/>
      </w:pPr>
      <w:r>
        <w:t>胸片</w:t>
      </w:r>
      <w:r>
        <w:rPr>
          <w:rFonts w:hint="eastAsia"/>
        </w:rPr>
        <w:t>；</w:t>
      </w:r>
    </w:p>
    <w:p>
      <w:pPr>
        <w:pStyle w:val="174"/>
      </w:pPr>
      <w:r>
        <w:rPr>
          <w:rFonts w:hint="eastAsia"/>
        </w:rPr>
        <w:t>心电图。</w:t>
      </w:r>
    </w:p>
    <w:p>
      <w:pPr>
        <w:pStyle w:val="165"/>
      </w:pPr>
      <w:bookmarkStart w:id="229" w:name="_Toc161330626"/>
      <w:bookmarkStart w:id="230" w:name="_Toc161330723"/>
      <w:r>
        <w:rPr>
          <w:rFonts w:hint="eastAsia"/>
        </w:rPr>
        <w:t>有以下情况之一者，不应接受维持治疗：</w:t>
      </w:r>
      <w:bookmarkEnd w:id="229"/>
      <w:bookmarkEnd w:id="230"/>
    </w:p>
    <w:p>
      <w:pPr>
        <w:pStyle w:val="174"/>
        <w:numPr>
          <w:ilvl w:val="0"/>
          <w:numId w:val="35"/>
        </w:numPr>
      </w:pPr>
      <w:r>
        <w:rPr>
          <w:rFonts w:hint="eastAsia"/>
        </w:rPr>
        <w:t>美沙酮过敏史；</w:t>
      </w:r>
    </w:p>
    <w:p>
      <w:pPr>
        <w:pStyle w:val="174"/>
      </w:pPr>
      <w:r>
        <w:rPr>
          <w:rFonts w:hint="eastAsia"/>
        </w:rPr>
        <w:t>支气管哮喘史；</w:t>
      </w:r>
    </w:p>
    <w:p>
      <w:pPr>
        <w:pStyle w:val="174"/>
      </w:pPr>
      <w:r>
        <w:rPr>
          <w:rFonts w:hint="eastAsia"/>
        </w:rPr>
        <w:t>急性肝炎或慢性肝炎活动期；</w:t>
      </w:r>
    </w:p>
    <w:p>
      <w:pPr>
        <w:pStyle w:val="174"/>
      </w:pPr>
      <w:r>
        <w:rPr>
          <w:rFonts w:hint="eastAsia"/>
        </w:rPr>
        <w:t>严重肝肾损伤及心功能障碍；</w:t>
      </w:r>
    </w:p>
    <w:p>
      <w:pPr>
        <w:pStyle w:val="174"/>
      </w:pPr>
      <w:r>
        <w:rPr>
          <w:rFonts w:hint="eastAsia"/>
        </w:rPr>
        <w:t>传染期肺结核；</w:t>
      </w:r>
    </w:p>
    <w:p>
      <w:pPr>
        <w:pStyle w:val="174"/>
      </w:pPr>
      <w:r>
        <w:rPr>
          <w:rFonts w:hint="eastAsia"/>
        </w:rPr>
        <w:t>伴有严重精神疾患；</w:t>
      </w:r>
    </w:p>
    <w:p>
      <w:pPr>
        <w:pStyle w:val="174"/>
      </w:pPr>
      <w:r>
        <w:rPr>
          <w:rFonts w:hint="eastAsia"/>
        </w:rPr>
        <w:t>其他疾病住院治疗期间。</w:t>
      </w:r>
    </w:p>
    <w:p>
      <w:pPr>
        <w:pStyle w:val="105"/>
        <w:spacing w:before="156" w:after="156"/>
        <w:ind w:left="0"/>
      </w:pPr>
      <w:bookmarkStart w:id="231" w:name="_Toc161330836"/>
      <w:bookmarkStart w:id="232" w:name="_Toc161330627"/>
      <w:bookmarkStart w:id="233" w:name="_Toc161330724"/>
      <w:bookmarkStart w:id="234" w:name="_Toc161330794"/>
      <w:r>
        <w:rPr>
          <w:rFonts w:hint="eastAsia"/>
        </w:rPr>
        <w:t>资料录入</w:t>
      </w:r>
      <w:bookmarkEnd w:id="231"/>
      <w:bookmarkEnd w:id="232"/>
      <w:bookmarkEnd w:id="233"/>
      <w:bookmarkEnd w:id="234"/>
    </w:p>
    <w:p>
      <w:pPr>
        <w:pStyle w:val="231"/>
        <w:ind w:firstLine="0" w:firstLineChars="0"/>
      </w:pPr>
      <w:r>
        <w:rPr>
          <w:rFonts w:hint="eastAsia"/>
        </w:rPr>
        <w:t xml:space="preserve">    在资料录入室的电脑上安装戒毒药物维持治疗管理信息系统客户端，将从美沙酮口服液配制单位接收的药品数量、受治者一般情况信息、基线及随访表、HIV、HCV、梅毒、尿吗啡检测结果录入，之后每日根据医生处方上的剂量录入受治者服药量。</w:t>
      </w:r>
      <w:r>
        <w:rPr>
          <w:rFonts w:hint="eastAsia"/>
          <w:szCs w:val="21"/>
        </w:rPr>
        <w:t>资料录入后应及时上传。</w:t>
      </w:r>
    </w:p>
    <w:p>
      <w:pPr>
        <w:pStyle w:val="105"/>
        <w:spacing w:before="156" w:after="156"/>
        <w:ind w:left="0"/>
      </w:pPr>
      <w:bookmarkStart w:id="235" w:name="_Toc161330837"/>
      <w:bookmarkStart w:id="236" w:name="_Toc161330725"/>
      <w:bookmarkStart w:id="237" w:name="_Toc161330628"/>
      <w:bookmarkStart w:id="238" w:name="_Toc161330795"/>
      <w:r>
        <w:rPr>
          <w:rFonts w:hint="eastAsia"/>
        </w:rPr>
        <w:t>量药与发药</w:t>
      </w:r>
      <w:bookmarkEnd w:id="235"/>
      <w:bookmarkEnd w:id="236"/>
      <w:bookmarkEnd w:id="237"/>
      <w:bookmarkEnd w:id="238"/>
      <w:r>
        <w:rPr>
          <w:rFonts w:hint="eastAsia"/>
        </w:rPr>
        <w:t xml:space="preserve"> </w:t>
      </w:r>
    </w:p>
    <w:p>
      <w:pPr>
        <w:pStyle w:val="231"/>
        <w:ind w:firstLineChars="0"/>
        <w:rPr>
          <w:szCs w:val="21"/>
        </w:rPr>
      </w:pPr>
      <w:r>
        <w:rPr>
          <w:rFonts w:hint="eastAsia"/>
          <w:szCs w:val="21"/>
        </w:rPr>
        <w:t>药师</w:t>
      </w:r>
      <w:r>
        <w:rPr>
          <w:rFonts w:hint="eastAsia"/>
        </w:rPr>
        <w:t>使用瓶顶移液器</w:t>
      </w:r>
      <w:r>
        <w:rPr>
          <w:rFonts w:hint="eastAsia"/>
          <w:szCs w:val="21"/>
        </w:rPr>
        <w:t>准确取药后，及时记录服药剂量、服药时间，并让受治者签字，在视频监控下与安保人员共同监督服药。受治者服完药后喝水或开口说话。</w:t>
      </w:r>
    </w:p>
    <w:p>
      <w:pPr>
        <w:pStyle w:val="105"/>
        <w:spacing w:before="156" w:after="156"/>
        <w:ind w:left="0"/>
      </w:pPr>
      <w:r>
        <w:rPr>
          <w:rFonts w:hint="eastAsia"/>
        </w:rPr>
        <w:t xml:space="preserve">随访要求 </w:t>
      </w:r>
    </w:p>
    <w:p>
      <w:pPr>
        <w:pStyle w:val="65"/>
        <w:spacing w:before="156" w:after="156"/>
      </w:pPr>
      <w:bookmarkStart w:id="239" w:name="_Toc161330734"/>
      <w:bookmarkStart w:id="240" w:name="_Toc161330804"/>
      <w:bookmarkStart w:id="241" w:name="_Toc161330637"/>
      <w:r>
        <w:rPr>
          <w:rFonts w:hint="eastAsia"/>
        </w:rPr>
        <w:t>随访频次</w:t>
      </w:r>
      <w:bookmarkEnd w:id="239"/>
      <w:bookmarkEnd w:id="240"/>
      <w:bookmarkEnd w:id="241"/>
    </w:p>
    <w:p>
      <w:pPr>
        <w:pStyle w:val="231"/>
      </w:pPr>
      <w:r>
        <w:rPr>
          <w:rFonts w:hint="eastAsia"/>
        </w:rPr>
        <w:t>门诊</w:t>
      </w:r>
      <w:r>
        <w:t>应定期对</w:t>
      </w:r>
      <w:r>
        <w:rPr>
          <w:rFonts w:hint="eastAsia"/>
        </w:rPr>
        <w:t>受治者</w:t>
      </w:r>
      <w:r>
        <w:t>进行医学随访。开始治疗</w:t>
      </w:r>
      <w:r>
        <w:rPr>
          <w:rFonts w:hint="eastAsia"/>
        </w:rPr>
        <w:t>后6个月和</w:t>
      </w:r>
      <w:r>
        <w:t>1年</w:t>
      </w:r>
      <w:r>
        <w:rPr>
          <w:rFonts w:hint="eastAsia"/>
        </w:rPr>
        <w:t>各</w:t>
      </w:r>
      <w:r>
        <w:t>完成</w:t>
      </w:r>
      <w:r>
        <w:rPr>
          <w:rFonts w:hint="eastAsia"/>
        </w:rPr>
        <w:t>1</w:t>
      </w:r>
      <w:r>
        <w:t>次规范随访；1年后，每年完成</w:t>
      </w:r>
      <w:r>
        <w:rPr>
          <w:rFonts w:hint="eastAsia"/>
        </w:rPr>
        <w:t>1</w:t>
      </w:r>
      <w:r>
        <w:t>次规范随访。</w:t>
      </w:r>
    </w:p>
    <w:p>
      <w:pPr>
        <w:pStyle w:val="65"/>
        <w:spacing w:before="156" w:after="156"/>
      </w:pPr>
      <w:bookmarkStart w:id="242" w:name="_Toc161330735"/>
      <w:bookmarkStart w:id="243" w:name="_Toc161330805"/>
      <w:bookmarkStart w:id="244" w:name="_Toc161330638"/>
      <w:r>
        <w:rPr>
          <w:rFonts w:hint="eastAsia"/>
        </w:rPr>
        <w:t>随访内容</w:t>
      </w:r>
      <w:bookmarkEnd w:id="242"/>
      <w:bookmarkEnd w:id="243"/>
      <w:bookmarkEnd w:id="244"/>
    </w:p>
    <w:p>
      <w:pPr>
        <w:pStyle w:val="94"/>
        <w:spacing w:before="156" w:after="156"/>
      </w:pPr>
      <w:bookmarkStart w:id="245" w:name="_Toc161330639"/>
      <w:bookmarkStart w:id="246" w:name="_Toc161330806"/>
      <w:bookmarkStart w:id="247" w:name="_Toc161330736"/>
      <w:r>
        <w:t>临床评估</w:t>
      </w:r>
      <w:bookmarkEnd w:id="245"/>
      <w:bookmarkEnd w:id="246"/>
      <w:bookmarkEnd w:id="247"/>
      <w:r>
        <w:t xml:space="preserve"> </w:t>
      </w:r>
    </w:p>
    <w:p>
      <w:pPr>
        <w:pStyle w:val="164"/>
        <w:numPr>
          <w:ilvl w:val="0"/>
          <w:numId w:val="0"/>
        </w:numPr>
        <w:ind w:firstLine="420" w:firstLineChars="200"/>
      </w:pPr>
      <w:r>
        <w:rPr>
          <w:rFonts w:hint="eastAsia"/>
        </w:rPr>
        <w:t>最近1个月药物滥用情况，最近3个月社会家庭功能及违法犯罪情况</w:t>
      </w:r>
      <w:r>
        <w:t>。</w:t>
      </w:r>
    </w:p>
    <w:p>
      <w:pPr>
        <w:pStyle w:val="94"/>
        <w:spacing w:before="156" w:after="156"/>
      </w:pPr>
      <w:bookmarkStart w:id="248" w:name="_Toc161330737"/>
      <w:bookmarkStart w:id="249" w:name="_Toc161330807"/>
      <w:bookmarkStart w:id="250" w:name="_Toc161330640"/>
      <w:r>
        <w:t>实验室检查</w:t>
      </w:r>
      <w:bookmarkEnd w:id="248"/>
      <w:bookmarkEnd w:id="249"/>
      <w:bookmarkEnd w:id="250"/>
      <w:r>
        <w:t xml:space="preserve"> </w:t>
      </w:r>
    </w:p>
    <w:p>
      <w:pPr>
        <w:pStyle w:val="164"/>
        <w:numPr>
          <w:ilvl w:val="0"/>
          <w:numId w:val="0"/>
        </w:numPr>
        <w:ind w:firstLine="420" w:firstLineChars="200"/>
      </w:pPr>
      <w:r>
        <w:rPr>
          <w:rFonts w:hint="eastAsia"/>
        </w:rPr>
        <w:t>门诊应采集受治者血液样本检测HIV、HCV和梅毒。检测频率为：HIV每年2次，每次间隔6个月；HCV和梅毒每年1次。应对受治者定性检测尿吗啡，检测频率为每月1 次。</w:t>
      </w:r>
    </w:p>
    <w:bookmarkEnd w:id="176"/>
    <w:p>
      <w:pPr>
        <w:pStyle w:val="104"/>
        <w:spacing w:before="312" w:after="312"/>
      </w:pPr>
      <w:bookmarkStart w:id="251" w:name="_Toc161990822"/>
      <w:bookmarkStart w:id="252" w:name="_Toc161989464"/>
      <w:r>
        <w:rPr>
          <w:rFonts w:hint="eastAsia"/>
        </w:rPr>
        <w:t>药品管理</w:t>
      </w:r>
      <w:bookmarkEnd w:id="251"/>
      <w:bookmarkEnd w:id="252"/>
    </w:p>
    <w:p>
      <w:pPr>
        <w:pStyle w:val="105"/>
        <w:spacing w:before="156" w:after="156"/>
        <w:ind w:left="0"/>
      </w:pPr>
      <w:bookmarkStart w:id="253" w:name="_Toc68878888"/>
      <w:r>
        <w:rPr>
          <w:rFonts w:hint="eastAsia"/>
        </w:rPr>
        <w:t>原料药申购</w:t>
      </w:r>
    </w:p>
    <w:p>
      <w:pPr>
        <w:pStyle w:val="56"/>
        <w:ind w:firstLine="420"/>
      </w:pPr>
      <w:r>
        <w:rPr>
          <w:rFonts w:hint="eastAsia"/>
        </w:rPr>
        <w:t>药品定点配制企业应在库存美沙酮原料使用完毕前三个月向省级戒毒药物维持治疗工作组申报原料购入计划。</w:t>
      </w:r>
    </w:p>
    <w:bookmarkEnd w:id="253"/>
    <w:p>
      <w:pPr>
        <w:pStyle w:val="105"/>
        <w:spacing w:before="156" w:after="156"/>
        <w:ind w:left="0"/>
      </w:pPr>
      <w:r>
        <w:rPr>
          <w:rFonts w:hint="eastAsia"/>
        </w:rPr>
        <w:t>口服液配送</w:t>
      </w:r>
    </w:p>
    <w:p>
      <w:pPr>
        <w:pStyle w:val="65"/>
        <w:spacing w:before="156" w:after="156"/>
      </w:pPr>
      <w:bookmarkStart w:id="254" w:name="_Toc161330800"/>
      <w:bookmarkStart w:id="255" w:name="_Toc161330730"/>
      <w:bookmarkStart w:id="256" w:name="_Toc161330633"/>
      <w:bookmarkStart w:id="257" w:name="_Toc68878893"/>
      <w:r>
        <w:rPr>
          <w:rFonts w:hint="eastAsia"/>
        </w:rPr>
        <w:t>口服液</w:t>
      </w:r>
      <w:bookmarkEnd w:id="254"/>
      <w:bookmarkEnd w:id="255"/>
      <w:bookmarkEnd w:id="256"/>
      <w:r>
        <w:rPr>
          <w:rFonts w:hint="eastAsia"/>
        </w:rPr>
        <w:t>申购</w:t>
      </w:r>
    </w:p>
    <w:p>
      <w:pPr>
        <w:pStyle w:val="231"/>
      </w:pPr>
      <w:r>
        <w:rPr>
          <w:rFonts w:hint="eastAsia"/>
        </w:rPr>
        <w:t>门诊应在口服液使用完毕前5个工作日申报美沙酮口服液购入计划至药品定点配制企业及工作组秘书处。</w:t>
      </w:r>
    </w:p>
    <w:bookmarkEnd w:id="257"/>
    <w:p>
      <w:pPr>
        <w:pStyle w:val="65"/>
        <w:spacing w:before="156" w:after="156"/>
      </w:pPr>
      <w:bookmarkStart w:id="258" w:name="_Toc161330634"/>
      <w:bookmarkStart w:id="259" w:name="_Toc161330801"/>
      <w:bookmarkStart w:id="260" w:name="_Toc161330731"/>
      <w:r>
        <w:rPr>
          <w:rFonts w:hint="eastAsia"/>
        </w:rPr>
        <w:t>口服液储存</w:t>
      </w:r>
      <w:bookmarkEnd w:id="258"/>
      <w:bookmarkEnd w:id="259"/>
      <w:bookmarkEnd w:id="260"/>
    </w:p>
    <w:p>
      <w:pPr>
        <w:pStyle w:val="231"/>
        <w:ind w:firstLine="0" w:firstLineChars="0"/>
      </w:pPr>
      <w:r>
        <w:rPr>
          <w:rFonts w:hint="eastAsia"/>
        </w:rPr>
        <w:t xml:space="preserve">    口服液</w:t>
      </w:r>
      <w:r>
        <w:t>储存仓库</w:t>
      </w:r>
      <w:r>
        <w:rPr>
          <w:rFonts w:hint="eastAsia"/>
        </w:rPr>
        <w:t>应安装红外报警设备和牢固的防盗设施，保持恒温恒湿</w:t>
      </w:r>
      <w:r>
        <w:t>，</w:t>
      </w:r>
      <w:r>
        <w:rPr>
          <w:rFonts w:hint="eastAsia"/>
        </w:rPr>
        <w:t>配备</w:t>
      </w:r>
      <w:r>
        <w:t>防潮、防鼠、防污染</w:t>
      </w:r>
      <w:r>
        <w:rPr>
          <w:rFonts w:hint="eastAsia"/>
        </w:rPr>
        <w:t>设施</w:t>
      </w:r>
      <w:r>
        <w:t>。</w:t>
      </w:r>
      <w:r>
        <w:rPr>
          <w:rFonts w:hint="eastAsia"/>
        </w:rPr>
        <w:t>每日拆零药品置于发药处保险柜中。</w:t>
      </w:r>
    </w:p>
    <w:p>
      <w:pPr>
        <w:pStyle w:val="65"/>
        <w:spacing w:before="156" w:after="156"/>
      </w:pPr>
      <w:bookmarkStart w:id="261" w:name="_Toc161330802"/>
      <w:bookmarkStart w:id="262" w:name="_Toc161330635"/>
      <w:bookmarkStart w:id="263" w:name="_Toc161330732"/>
      <w:r>
        <w:rPr>
          <w:rFonts w:hint="eastAsia"/>
        </w:rPr>
        <w:t>口服液流通</w:t>
      </w:r>
      <w:bookmarkEnd w:id="261"/>
      <w:bookmarkEnd w:id="262"/>
      <w:bookmarkEnd w:id="263"/>
    </w:p>
    <w:p>
      <w:pPr>
        <w:pStyle w:val="231"/>
      </w:pPr>
      <w:r>
        <w:rPr>
          <w:rFonts w:hint="eastAsia" w:hAnsi="宋体" w:cs="宋体"/>
          <w:szCs w:val="21"/>
        </w:rPr>
        <w:t>药品定点配制企业根据门诊需求，在5个工作日内将药品由专人专车运送至门诊。</w:t>
      </w:r>
      <w:r>
        <w:t>药品应做到专人管理、专库存放、专账登记，严格落实药品管理制度，定期盘点库存，原始记录真实完整。</w:t>
      </w: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p>
      <w:pPr>
        <w:pStyle w:val="231"/>
      </w:pPr>
    </w:p>
    <w:bookmarkEnd w:id="44"/>
    <w:bookmarkEnd w:id="124"/>
    <w:p>
      <w:pPr>
        <w:pStyle w:val="63"/>
        <w:spacing w:after="156"/>
      </w:pPr>
      <w:bookmarkStart w:id="264" w:name="_Toc161990823"/>
      <w:bookmarkStart w:id="265" w:name="_Toc161330742"/>
      <w:bookmarkStart w:id="266" w:name="_Toc161330645"/>
      <w:bookmarkStart w:id="267" w:name="_Toc161330812"/>
      <w:bookmarkStart w:id="268" w:name="_Toc161330844"/>
      <w:bookmarkStart w:id="269" w:name="_Toc161989465"/>
      <w:bookmarkStart w:id="270" w:name="BookMark6"/>
      <w:r>
        <w:rPr>
          <w:rFonts w:hint="eastAsia"/>
          <w:spacing w:val="105"/>
        </w:rPr>
        <w:t>参考文</w:t>
      </w:r>
      <w:r>
        <w:rPr>
          <w:rFonts w:hint="eastAsia"/>
        </w:rPr>
        <w:t>献</w:t>
      </w:r>
      <w:bookmarkEnd w:id="264"/>
      <w:bookmarkEnd w:id="265"/>
      <w:bookmarkEnd w:id="266"/>
      <w:bookmarkEnd w:id="267"/>
      <w:bookmarkEnd w:id="268"/>
      <w:bookmarkEnd w:id="269"/>
    </w:p>
    <w:p>
      <w:pPr>
        <w:rPr>
          <w:rFonts w:ascii="宋体" w:hAnsi="宋体"/>
        </w:rPr>
      </w:pPr>
      <w:r>
        <w:rPr>
          <w:rFonts w:hint="eastAsia" w:ascii="宋体" w:hAnsi="宋体"/>
        </w:rPr>
        <w:t>[</w:t>
      </w:r>
      <w:r>
        <w:rPr>
          <w:rFonts w:ascii="宋体" w:hAnsi="宋体"/>
        </w:rPr>
        <w:t>1]  麻醉药品和精神药品管理条例</w:t>
      </w:r>
      <w:r>
        <w:rPr>
          <w:rFonts w:hint="eastAsia" w:ascii="宋体" w:hAnsi="宋体"/>
        </w:rPr>
        <w:t>（国务院令第4</w:t>
      </w:r>
      <w:r>
        <w:rPr>
          <w:rFonts w:ascii="宋体" w:hAnsi="宋体"/>
        </w:rPr>
        <w:t>22</w:t>
      </w:r>
      <w:r>
        <w:rPr>
          <w:rFonts w:hint="eastAsia" w:ascii="宋体" w:hAnsi="宋体"/>
        </w:rPr>
        <w:t>号）</w:t>
      </w:r>
    </w:p>
    <w:p>
      <w:pPr>
        <w:rPr>
          <w:rFonts w:ascii="宋体" w:hAnsi="宋体" w:cs="Vrinda"/>
        </w:rPr>
      </w:pPr>
      <w:r>
        <w:rPr>
          <w:rFonts w:hint="eastAsia" w:ascii="宋体" w:hAnsi="宋体"/>
        </w:rPr>
        <w:t>[</w:t>
      </w:r>
      <w:r>
        <w:rPr>
          <w:rFonts w:ascii="宋体" w:hAnsi="宋体"/>
        </w:rPr>
        <w:t xml:space="preserve">2]  </w:t>
      </w:r>
      <w:r>
        <w:rPr>
          <w:rFonts w:hint="eastAsia" w:ascii="宋体" w:hAnsi="宋体" w:cs="Vrinda"/>
        </w:rPr>
        <w:t>国家卫生计生委办公厅关于印发戒毒药物维持治疗机构基本要求等3个文件的通知（国卫办疾控函</w:t>
      </w:r>
      <w:r>
        <w:rPr>
          <w:rFonts w:ascii="宋体" w:hAnsi="宋体" w:cs="Arial"/>
          <w:color w:val="333333"/>
          <w:shd w:val="clear" w:color="auto" w:fill="FFFFFF"/>
        </w:rPr>
        <w:t>〔</w:t>
      </w:r>
      <w:r>
        <w:rPr>
          <w:rFonts w:hint="eastAsia" w:ascii="宋体" w:hAnsi="宋体" w:cs="Arial"/>
          <w:color w:val="333333"/>
          <w:shd w:val="clear" w:color="auto" w:fill="FFFFFF"/>
        </w:rPr>
        <w:t>2</w:t>
      </w:r>
      <w:r>
        <w:rPr>
          <w:rFonts w:ascii="宋体" w:hAnsi="宋体" w:cs="Arial"/>
          <w:color w:val="333333"/>
          <w:shd w:val="clear" w:color="auto" w:fill="FFFFFF"/>
        </w:rPr>
        <w:t>015〕</w:t>
      </w:r>
      <w:r>
        <w:rPr>
          <w:rFonts w:hint="eastAsia" w:ascii="宋体" w:hAnsi="宋体" w:cs="Arial"/>
          <w:color w:val="333333"/>
          <w:shd w:val="clear" w:color="auto" w:fill="FFFFFF"/>
        </w:rPr>
        <w:t>2</w:t>
      </w:r>
      <w:r>
        <w:rPr>
          <w:rFonts w:ascii="宋体" w:hAnsi="宋体" w:cs="Arial"/>
          <w:color w:val="333333"/>
          <w:shd w:val="clear" w:color="auto" w:fill="FFFFFF"/>
        </w:rPr>
        <w:t>87</w:t>
      </w:r>
      <w:r>
        <w:rPr>
          <w:rFonts w:hint="eastAsia" w:ascii="宋体" w:hAnsi="宋体" w:cs="Arial"/>
          <w:color w:val="333333"/>
          <w:shd w:val="clear" w:color="auto" w:fill="FFFFFF"/>
        </w:rPr>
        <w:t>号</w:t>
      </w:r>
      <w:r>
        <w:rPr>
          <w:rFonts w:hint="eastAsia" w:ascii="宋体" w:hAnsi="宋体" w:cs="Vrinda"/>
        </w:rPr>
        <w:t>）</w:t>
      </w:r>
    </w:p>
    <w:p>
      <w:pPr>
        <w:rPr>
          <w:rFonts w:ascii="宋体" w:hAnsi="宋体" w:cs="Vrinda"/>
        </w:rPr>
      </w:pPr>
      <w:r>
        <w:rPr>
          <w:rFonts w:hint="eastAsia" w:ascii="宋体" w:hAnsi="宋体"/>
        </w:rPr>
        <w:t>[</w:t>
      </w:r>
      <w:r>
        <w:rPr>
          <w:rFonts w:ascii="宋体" w:hAnsi="宋体"/>
        </w:rPr>
        <w:t xml:space="preserve">3]  </w:t>
      </w:r>
      <w:r>
        <w:rPr>
          <w:rFonts w:hint="eastAsia" w:ascii="宋体" w:hAnsi="宋体" w:cs="Vrinda"/>
        </w:rPr>
        <w:t>关于印发戒毒药物维持治疗管理办法的通知（国卫疾控发</w:t>
      </w:r>
      <w:r>
        <w:rPr>
          <w:rFonts w:ascii="宋体" w:hAnsi="宋体" w:cs="Arial"/>
          <w:color w:val="333333"/>
          <w:shd w:val="clear" w:color="auto" w:fill="FFFFFF"/>
        </w:rPr>
        <w:t>〔</w:t>
      </w:r>
      <w:r>
        <w:rPr>
          <w:rFonts w:hint="eastAsia" w:ascii="宋体" w:hAnsi="宋体" w:cs="Arial"/>
          <w:color w:val="333333"/>
          <w:shd w:val="clear" w:color="auto" w:fill="FFFFFF"/>
        </w:rPr>
        <w:t>2</w:t>
      </w:r>
      <w:r>
        <w:rPr>
          <w:rFonts w:ascii="宋体" w:hAnsi="宋体" w:cs="Arial"/>
          <w:color w:val="333333"/>
          <w:shd w:val="clear" w:color="auto" w:fill="FFFFFF"/>
        </w:rPr>
        <w:t>014〕91</w:t>
      </w:r>
      <w:r>
        <w:rPr>
          <w:rFonts w:hint="eastAsia" w:ascii="宋体" w:hAnsi="宋体" w:cs="Arial"/>
          <w:color w:val="333333"/>
          <w:shd w:val="clear" w:color="auto" w:fill="FFFFFF"/>
        </w:rPr>
        <w:t>号</w:t>
      </w:r>
      <w:r>
        <w:rPr>
          <w:rFonts w:hint="eastAsia" w:ascii="宋体" w:hAnsi="宋体" w:cs="Vrinda"/>
        </w:rPr>
        <w:t>）</w:t>
      </w:r>
    </w:p>
    <w:bookmarkEnd w:id="270"/>
    <w:p>
      <w:pPr>
        <w:pStyle w:val="56"/>
        <w:ind w:firstLine="0" w:firstLineChars="0"/>
        <w:jc w:val="center"/>
      </w:pPr>
      <w:bookmarkStart w:id="271"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9"/>
      <w:bookmarkEnd w:id="100"/>
      <w:bookmarkEnd w:id="27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Vrinda">
    <w:altName w:val="Segoe Print"/>
    <w:panose1 w:val="00000400000000000000"/>
    <w:charset w:val="01"/>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32/T 4688.9—2024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4688.9—2024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CA20BBE"/>
    <w:multiLevelType w:val="multilevel"/>
    <w:tmpl w:val="5CA20BBE"/>
    <w:lvl w:ilvl="0" w:tentative="0">
      <w:start w:val="1"/>
      <w:numFmt w:val="lowerLetter"/>
      <w:pStyle w:val="236"/>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35"/>
      <w:lvlText w:val="%2)"/>
      <w:lvlJc w:val="left"/>
      <w:pPr>
        <w:tabs>
          <w:tab w:val="left" w:pos="1260"/>
        </w:tabs>
        <w:ind w:left="1259" w:hanging="419"/>
      </w:pPr>
      <w:rPr>
        <w:rFonts w:hint="eastAsia"/>
      </w:rPr>
    </w:lvl>
    <w:lvl w:ilvl="2" w:tentative="0">
      <w:start w:val="1"/>
      <w:numFmt w:val="decimal"/>
      <w:pStyle w:val="237"/>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pStyle w:val="238"/>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135"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2127"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gyKVVJlp7O9INo3q4/3D5BVaUBbE+FyyejCoCg3h4bBP0yuhqF3Q7yDUOSaOsqMTQfjbid9g8icKeLzz6uQmQA==" w:salt="uvGG2g+E5gA/qQn28CQKiw=="/>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FA14AD"/>
    <w:rsid w:val="0000040A"/>
    <w:rsid w:val="00000A94"/>
    <w:rsid w:val="00001972"/>
    <w:rsid w:val="00001D9A"/>
    <w:rsid w:val="00007B3A"/>
    <w:rsid w:val="000107E0"/>
    <w:rsid w:val="00011FDE"/>
    <w:rsid w:val="00012FFD"/>
    <w:rsid w:val="00014162"/>
    <w:rsid w:val="00014340"/>
    <w:rsid w:val="00016A9C"/>
    <w:rsid w:val="0002123E"/>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8BC"/>
    <w:rsid w:val="00055FE2"/>
    <w:rsid w:val="0005616F"/>
    <w:rsid w:val="00060C2E"/>
    <w:rsid w:val="00061033"/>
    <w:rsid w:val="000619E9"/>
    <w:rsid w:val="000622D4"/>
    <w:rsid w:val="00062860"/>
    <w:rsid w:val="0006357D"/>
    <w:rsid w:val="00067F1E"/>
    <w:rsid w:val="00071CC0"/>
    <w:rsid w:val="00073C8C"/>
    <w:rsid w:val="00074301"/>
    <w:rsid w:val="00077B64"/>
    <w:rsid w:val="00080A1C"/>
    <w:rsid w:val="00081696"/>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C31"/>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410"/>
    <w:rsid w:val="001A4CF3"/>
    <w:rsid w:val="001B06E8"/>
    <w:rsid w:val="001B266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7F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641F"/>
    <w:rsid w:val="00257186"/>
    <w:rsid w:val="0026148A"/>
    <w:rsid w:val="00262696"/>
    <w:rsid w:val="00263D25"/>
    <w:rsid w:val="002643C3"/>
    <w:rsid w:val="00264A0C"/>
    <w:rsid w:val="00266EEB"/>
    <w:rsid w:val="00267EF4"/>
    <w:rsid w:val="0027072F"/>
    <w:rsid w:val="00270CB8"/>
    <w:rsid w:val="00272B08"/>
    <w:rsid w:val="00274A9E"/>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F8B"/>
    <w:rsid w:val="002A757F"/>
    <w:rsid w:val="002A7F44"/>
    <w:rsid w:val="002B0C40"/>
    <w:rsid w:val="002B1966"/>
    <w:rsid w:val="002B4508"/>
    <w:rsid w:val="002B5779"/>
    <w:rsid w:val="002B7332"/>
    <w:rsid w:val="002B7F51"/>
    <w:rsid w:val="002C09E7"/>
    <w:rsid w:val="002C1DC7"/>
    <w:rsid w:val="002C1E06"/>
    <w:rsid w:val="002C1E1C"/>
    <w:rsid w:val="002C3F07"/>
    <w:rsid w:val="002C5278"/>
    <w:rsid w:val="002C7EBB"/>
    <w:rsid w:val="002D06C1"/>
    <w:rsid w:val="002D42B5"/>
    <w:rsid w:val="002D4F1A"/>
    <w:rsid w:val="002D674E"/>
    <w:rsid w:val="002D6EC6"/>
    <w:rsid w:val="002D79AC"/>
    <w:rsid w:val="002E039D"/>
    <w:rsid w:val="002E4D5A"/>
    <w:rsid w:val="002E6326"/>
    <w:rsid w:val="002F30E0"/>
    <w:rsid w:val="002F35E4"/>
    <w:rsid w:val="002F3730"/>
    <w:rsid w:val="002F38E1"/>
    <w:rsid w:val="002F7AF6"/>
    <w:rsid w:val="00300E63"/>
    <w:rsid w:val="0030111F"/>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BF7"/>
    <w:rsid w:val="00366E89"/>
    <w:rsid w:val="003705F4"/>
    <w:rsid w:val="00370D58"/>
    <w:rsid w:val="00371316"/>
    <w:rsid w:val="00375E6B"/>
    <w:rsid w:val="00376713"/>
    <w:rsid w:val="00381815"/>
    <w:rsid w:val="003819AF"/>
    <w:rsid w:val="003820E9"/>
    <w:rsid w:val="00382DE7"/>
    <w:rsid w:val="00384FFC"/>
    <w:rsid w:val="00385B8E"/>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41B"/>
    <w:rsid w:val="003B5BF0"/>
    <w:rsid w:val="003B60BF"/>
    <w:rsid w:val="003B6BE3"/>
    <w:rsid w:val="003C010C"/>
    <w:rsid w:val="003C0A6C"/>
    <w:rsid w:val="003C14F8"/>
    <w:rsid w:val="003C314D"/>
    <w:rsid w:val="003C5A43"/>
    <w:rsid w:val="003D0519"/>
    <w:rsid w:val="003D0FF6"/>
    <w:rsid w:val="003D262C"/>
    <w:rsid w:val="003D49BF"/>
    <w:rsid w:val="003D6D61"/>
    <w:rsid w:val="003D79C6"/>
    <w:rsid w:val="003E091D"/>
    <w:rsid w:val="003E1C53"/>
    <w:rsid w:val="003E2A69"/>
    <w:rsid w:val="003E2D49"/>
    <w:rsid w:val="003E2FD4"/>
    <w:rsid w:val="003E49F6"/>
    <w:rsid w:val="003E660F"/>
    <w:rsid w:val="003E6D2C"/>
    <w:rsid w:val="003F0841"/>
    <w:rsid w:val="003F23D3"/>
    <w:rsid w:val="003F3F08"/>
    <w:rsid w:val="003F49F1"/>
    <w:rsid w:val="003F6272"/>
    <w:rsid w:val="00400E72"/>
    <w:rsid w:val="00401400"/>
    <w:rsid w:val="00404869"/>
    <w:rsid w:val="00405884"/>
    <w:rsid w:val="00407D39"/>
    <w:rsid w:val="0041477A"/>
    <w:rsid w:val="004167A3"/>
    <w:rsid w:val="004307C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3612"/>
    <w:rsid w:val="004746B1"/>
    <w:rsid w:val="0047583F"/>
    <w:rsid w:val="00475DE8"/>
    <w:rsid w:val="004805D7"/>
    <w:rsid w:val="00481C44"/>
    <w:rsid w:val="00484936"/>
    <w:rsid w:val="00485C89"/>
    <w:rsid w:val="00486BE3"/>
    <w:rsid w:val="004905E4"/>
    <w:rsid w:val="00490A89"/>
    <w:rsid w:val="00490AB4"/>
    <w:rsid w:val="00492332"/>
    <w:rsid w:val="00492F02"/>
    <w:rsid w:val="004939AE"/>
    <w:rsid w:val="00495A16"/>
    <w:rsid w:val="00497915"/>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2D9"/>
    <w:rsid w:val="004D4406"/>
    <w:rsid w:val="004D761A"/>
    <w:rsid w:val="004D7C42"/>
    <w:rsid w:val="004E0465"/>
    <w:rsid w:val="004E127B"/>
    <w:rsid w:val="004E1C0A"/>
    <w:rsid w:val="004E2B06"/>
    <w:rsid w:val="004E30C5"/>
    <w:rsid w:val="004E4AA5"/>
    <w:rsid w:val="004E4AEE"/>
    <w:rsid w:val="004E59E3"/>
    <w:rsid w:val="004E67C0"/>
    <w:rsid w:val="004F391A"/>
    <w:rsid w:val="004F3CFB"/>
    <w:rsid w:val="004F4CE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A0D"/>
    <w:rsid w:val="00516088"/>
    <w:rsid w:val="00516B0B"/>
    <w:rsid w:val="005220EC"/>
    <w:rsid w:val="00523F95"/>
    <w:rsid w:val="00524D65"/>
    <w:rsid w:val="00525B16"/>
    <w:rsid w:val="005334AE"/>
    <w:rsid w:val="00533D04"/>
    <w:rsid w:val="005347A1"/>
    <w:rsid w:val="00534804"/>
    <w:rsid w:val="00534BDF"/>
    <w:rsid w:val="005354EA"/>
    <w:rsid w:val="0053585F"/>
    <w:rsid w:val="00535EC4"/>
    <w:rsid w:val="00535ED9"/>
    <w:rsid w:val="0053692B"/>
    <w:rsid w:val="00541853"/>
    <w:rsid w:val="00543BDA"/>
    <w:rsid w:val="005441CC"/>
    <w:rsid w:val="005451EA"/>
    <w:rsid w:val="005479DA"/>
    <w:rsid w:val="00547BCC"/>
    <w:rsid w:val="0055013B"/>
    <w:rsid w:val="00551F6F"/>
    <w:rsid w:val="00555044"/>
    <w:rsid w:val="00560844"/>
    <w:rsid w:val="00561475"/>
    <w:rsid w:val="00561A57"/>
    <w:rsid w:val="0056487B"/>
    <w:rsid w:val="00564FB9"/>
    <w:rsid w:val="00573D9E"/>
    <w:rsid w:val="005801E3"/>
    <w:rsid w:val="00581802"/>
    <w:rsid w:val="005836A8"/>
    <w:rsid w:val="0058409C"/>
    <w:rsid w:val="00584262"/>
    <w:rsid w:val="00586162"/>
    <w:rsid w:val="00586630"/>
    <w:rsid w:val="00587ADD"/>
    <w:rsid w:val="00591E27"/>
    <w:rsid w:val="00596160"/>
    <w:rsid w:val="005966E2"/>
    <w:rsid w:val="00597007"/>
    <w:rsid w:val="005A0966"/>
    <w:rsid w:val="005A11B7"/>
    <w:rsid w:val="005A260B"/>
    <w:rsid w:val="005A33C0"/>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79B0"/>
    <w:rsid w:val="006015CE"/>
    <w:rsid w:val="00604784"/>
    <w:rsid w:val="00606419"/>
    <w:rsid w:val="00607D29"/>
    <w:rsid w:val="006122B8"/>
    <w:rsid w:val="00612952"/>
    <w:rsid w:val="00614CC1"/>
    <w:rsid w:val="00615A9D"/>
    <w:rsid w:val="00615B3E"/>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77F40"/>
    <w:rsid w:val="0068026D"/>
    <w:rsid w:val="006808B4"/>
    <w:rsid w:val="00680A27"/>
    <w:rsid w:val="006816A4"/>
    <w:rsid w:val="006819B8"/>
    <w:rsid w:val="00682E1C"/>
    <w:rsid w:val="006840A6"/>
    <w:rsid w:val="00684242"/>
    <w:rsid w:val="006850CD"/>
    <w:rsid w:val="00685AAB"/>
    <w:rsid w:val="006926B3"/>
    <w:rsid w:val="00695D22"/>
    <w:rsid w:val="006A07AA"/>
    <w:rsid w:val="006A1C7D"/>
    <w:rsid w:val="006A25E5"/>
    <w:rsid w:val="006A2B46"/>
    <w:rsid w:val="006A336D"/>
    <w:rsid w:val="006A37B9"/>
    <w:rsid w:val="006A42D1"/>
    <w:rsid w:val="006B2672"/>
    <w:rsid w:val="006B54BF"/>
    <w:rsid w:val="006B5551"/>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18B1"/>
    <w:rsid w:val="006E23EA"/>
    <w:rsid w:val="006F03A8"/>
    <w:rsid w:val="006F2ACA"/>
    <w:rsid w:val="006F2ADC"/>
    <w:rsid w:val="006F2BFE"/>
    <w:rsid w:val="006F31E9"/>
    <w:rsid w:val="006F6284"/>
    <w:rsid w:val="007002C5"/>
    <w:rsid w:val="00703C9D"/>
    <w:rsid w:val="00704387"/>
    <w:rsid w:val="00707669"/>
    <w:rsid w:val="00711CBA"/>
    <w:rsid w:val="00711FB5"/>
    <w:rsid w:val="00712A01"/>
    <w:rsid w:val="00714F58"/>
    <w:rsid w:val="0072195C"/>
    <w:rsid w:val="00722FBF"/>
    <w:rsid w:val="00722FC2"/>
    <w:rsid w:val="00724879"/>
    <w:rsid w:val="00724E1B"/>
    <w:rsid w:val="00725949"/>
    <w:rsid w:val="00727FA2"/>
    <w:rsid w:val="007322D9"/>
    <w:rsid w:val="00732BC0"/>
    <w:rsid w:val="00734F15"/>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0512"/>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A91"/>
    <w:rsid w:val="007B0D4F"/>
    <w:rsid w:val="007B30F7"/>
    <w:rsid w:val="007B5A3D"/>
    <w:rsid w:val="007B5B95"/>
    <w:rsid w:val="007B68EA"/>
    <w:rsid w:val="007B7453"/>
    <w:rsid w:val="007C1E8B"/>
    <w:rsid w:val="007C2D89"/>
    <w:rsid w:val="007C4593"/>
    <w:rsid w:val="007C5309"/>
    <w:rsid w:val="007C6069"/>
    <w:rsid w:val="007C7F93"/>
    <w:rsid w:val="007D06C4"/>
    <w:rsid w:val="007D1352"/>
    <w:rsid w:val="007D2508"/>
    <w:rsid w:val="007D346A"/>
    <w:rsid w:val="007D6518"/>
    <w:rsid w:val="007D76BD"/>
    <w:rsid w:val="007E0BF1"/>
    <w:rsid w:val="007E288D"/>
    <w:rsid w:val="007E5265"/>
    <w:rsid w:val="007F0ED8"/>
    <w:rsid w:val="007F0F63"/>
    <w:rsid w:val="007F75CE"/>
    <w:rsid w:val="00801133"/>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55A3"/>
    <w:rsid w:val="00856316"/>
    <w:rsid w:val="00856EA6"/>
    <w:rsid w:val="008603CE"/>
    <w:rsid w:val="008620FC"/>
    <w:rsid w:val="008627A5"/>
    <w:rsid w:val="00863E05"/>
    <w:rsid w:val="00865ACA"/>
    <w:rsid w:val="00865D28"/>
    <w:rsid w:val="00865F85"/>
    <w:rsid w:val="00867C10"/>
    <w:rsid w:val="00870439"/>
    <w:rsid w:val="00870DA1"/>
    <w:rsid w:val="008745DB"/>
    <w:rsid w:val="00883F93"/>
    <w:rsid w:val="00884DB3"/>
    <w:rsid w:val="00885A9D"/>
    <w:rsid w:val="008864F6"/>
    <w:rsid w:val="0089049D"/>
    <w:rsid w:val="008928C9"/>
    <w:rsid w:val="008930CB"/>
    <w:rsid w:val="008938DC"/>
    <w:rsid w:val="00893FD1"/>
    <w:rsid w:val="00894836"/>
    <w:rsid w:val="00895172"/>
    <w:rsid w:val="00895680"/>
    <w:rsid w:val="00896BBC"/>
    <w:rsid w:val="00896DFF"/>
    <w:rsid w:val="0089747F"/>
    <w:rsid w:val="0089762C"/>
    <w:rsid w:val="008A08D7"/>
    <w:rsid w:val="008A1893"/>
    <w:rsid w:val="008A3215"/>
    <w:rsid w:val="008A57E6"/>
    <w:rsid w:val="008A6F81"/>
    <w:rsid w:val="008A769A"/>
    <w:rsid w:val="008B0991"/>
    <w:rsid w:val="008B0C9C"/>
    <w:rsid w:val="008B166D"/>
    <w:rsid w:val="008B17F4"/>
    <w:rsid w:val="008B3615"/>
    <w:rsid w:val="008B4AC4"/>
    <w:rsid w:val="008B50C8"/>
    <w:rsid w:val="008B5281"/>
    <w:rsid w:val="008B790A"/>
    <w:rsid w:val="008B7E05"/>
    <w:rsid w:val="008C1797"/>
    <w:rsid w:val="008C219C"/>
    <w:rsid w:val="008C475E"/>
    <w:rsid w:val="008C619A"/>
    <w:rsid w:val="008D0CE8"/>
    <w:rsid w:val="008D1A0F"/>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3397"/>
    <w:rsid w:val="009062E6"/>
    <w:rsid w:val="00911BE5"/>
    <w:rsid w:val="00913CA9"/>
    <w:rsid w:val="009145AE"/>
    <w:rsid w:val="009146CE"/>
    <w:rsid w:val="00914CA7"/>
    <w:rsid w:val="00915C3E"/>
    <w:rsid w:val="009161A8"/>
    <w:rsid w:val="009245F5"/>
    <w:rsid w:val="009246BE"/>
    <w:rsid w:val="009249EC"/>
    <w:rsid w:val="009273B3"/>
    <w:rsid w:val="009305B5"/>
    <w:rsid w:val="0093396B"/>
    <w:rsid w:val="009429D5"/>
    <w:rsid w:val="00942BF1"/>
    <w:rsid w:val="00943650"/>
    <w:rsid w:val="00945180"/>
    <w:rsid w:val="00945428"/>
    <w:rsid w:val="0094607B"/>
    <w:rsid w:val="00953604"/>
    <w:rsid w:val="0095496B"/>
    <w:rsid w:val="00961003"/>
    <w:rsid w:val="009610DC"/>
    <w:rsid w:val="00961490"/>
    <w:rsid w:val="0096381A"/>
    <w:rsid w:val="00964B15"/>
    <w:rsid w:val="00965E04"/>
    <w:rsid w:val="009674AD"/>
    <w:rsid w:val="00970CDC"/>
    <w:rsid w:val="00977010"/>
    <w:rsid w:val="00977D02"/>
    <w:rsid w:val="009809BB"/>
    <w:rsid w:val="0098364B"/>
    <w:rsid w:val="009911AF"/>
    <w:rsid w:val="00991875"/>
    <w:rsid w:val="00991F92"/>
    <w:rsid w:val="0099292B"/>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6CCD"/>
    <w:rsid w:val="009D112C"/>
    <w:rsid w:val="009D47FA"/>
    <w:rsid w:val="009D4C5B"/>
    <w:rsid w:val="009D50D2"/>
    <w:rsid w:val="009D6BCA"/>
    <w:rsid w:val="009E0F62"/>
    <w:rsid w:val="009E3BF5"/>
    <w:rsid w:val="009E4A58"/>
    <w:rsid w:val="009E5A2D"/>
    <w:rsid w:val="009E5AB2"/>
    <w:rsid w:val="009E6219"/>
    <w:rsid w:val="009F03B3"/>
    <w:rsid w:val="009F6E37"/>
    <w:rsid w:val="00A0096C"/>
    <w:rsid w:val="00A01757"/>
    <w:rsid w:val="00A028C0"/>
    <w:rsid w:val="00A02BAE"/>
    <w:rsid w:val="00A06A6B"/>
    <w:rsid w:val="00A0769E"/>
    <w:rsid w:val="00A07E47"/>
    <w:rsid w:val="00A129D0"/>
    <w:rsid w:val="00A12C33"/>
    <w:rsid w:val="00A138BA"/>
    <w:rsid w:val="00A14C8E"/>
    <w:rsid w:val="00A153D9"/>
    <w:rsid w:val="00A15F09"/>
    <w:rsid w:val="00A169B6"/>
    <w:rsid w:val="00A2117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BE8"/>
    <w:rsid w:val="00A55BD6"/>
    <w:rsid w:val="00A55D50"/>
    <w:rsid w:val="00A57142"/>
    <w:rsid w:val="00A644FF"/>
    <w:rsid w:val="00A648CD"/>
    <w:rsid w:val="00A6537A"/>
    <w:rsid w:val="00A67866"/>
    <w:rsid w:val="00A70B07"/>
    <w:rsid w:val="00A723F8"/>
    <w:rsid w:val="00A77CCB"/>
    <w:rsid w:val="00A8050D"/>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3F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D45"/>
    <w:rsid w:val="00AE798C"/>
    <w:rsid w:val="00AF0C18"/>
    <w:rsid w:val="00AF47C5"/>
    <w:rsid w:val="00AF5398"/>
    <w:rsid w:val="00B049AF"/>
    <w:rsid w:val="00B07242"/>
    <w:rsid w:val="00B10534"/>
    <w:rsid w:val="00B113DB"/>
    <w:rsid w:val="00B11D8A"/>
    <w:rsid w:val="00B12981"/>
    <w:rsid w:val="00B147DD"/>
    <w:rsid w:val="00B156FD"/>
    <w:rsid w:val="00B21F61"/>
    <w:rsid w:val="00B261F1"/>
    <w:rsid w:val="00B2645F"/>
    <w:rsid w:val="00B265BC"/>
    <w:rsid w:val="00B31FB1"/>
    <w:rsid w:val="00B33952"/>
    <w:rsid w:val="00B33C5E"/>
    <w:rsid w:val="00B342F4"/>
    <w:rsid w:val="00B34369"/>
    <w:rsid w:val="00B34DC2"/>
    <w:rsid w:val="00B3707C"/>
    <w:rsid w:val="00B378E5"/>
    <w:rsid w:val="00B4346D"/>
    <w:rsid w:val="00B440F4"/>
    <w:rsid w:val="00B447A5"/>
    <w:rsid w:val="00B4654C"/>
    <w:rsid w:val="00B46AF0"/>
    <w:rsid w:val="00B47293"/>
    <w:rsid w:val="00B47A46"/>
    <w:rsid w:val="00B50E50"/>
    <w:rsid w:val="00B515DC"/>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46"/>
    <w:rsid w:val="00BA58D4"/>
    <w:rsid w:val="00BA5B9E"/>
    <w:rsid w:val="00BA652E"/>
    <w:rsid w:val="00BA7C9A"/>
    <w:rsid w:val="00BB203B"/>
    <w:rsid w:val="00BB5F8F"/>
    <w:rsid w:val="00BB657A"/>
    <w:rsid w:val="00BC1A4E"/>
    <w:rsid w:val="00BC4790"/>
    <w:rsid w:val="00BC5CEE"/>
    <w:rsid w:val="00BC5DC7"/>
    <w:rsid w:val="00BC6B8B"/>
    <w:rsid w:val="00BC73D8"/>
    <w:rsid w:val="00BD52D7"/>
    <w:rsid w:val="00BD5AD2"/>
    <w:rsid w:val="00BD7065"/>
    <w:rsid w:val="00BE22F3"/>
    <w:rsid w:val="00BE5B52"/>
    <w:rsid w:val="00BE7B8D"/>
    <w:rsid w:val="00BF0993"/>
    <w:rsid w:val="00BF10A9"/>
    <w:rsid w:val="00BF1703"/>
    <w:rsid w:val="00BF1AF7"/>
    <w:rsid w:val="00BF231C"/>
    <w:rsid w:val="00BF51E5"/>
    <w:rsid w:val="00BF5325"/>
    <w:rsid w:val="00BF74A6"/>
    <w:rsid w:val="00C013AD"/>
    <w:rsid w:val="00C04904"/>
    <w:rsid w:val="00C056B3"/>
    <w:rsid w:val="00C103E5"/>
    <w:rsid w:val="00C13319"/>
    <w:rsid w:val="00C13EE9"/>
    <w:rsid w:val="00C15A8E"/>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65DD"/>
    <w:rsid w:val="00C521D6"/>
    <w:rsid w:val="00C55232"/>
    <w:rsid w:val="00C553A4"/>
    <w:rsid w:val="00C55A06"/>
    <w:rsid w:val="00C55D03"/>
    <w:rsid w:val="00C601BC"/>
    <w:rsid w:val="00C61CDD"/>
    <w:rsid w:val="00C6329F"/>
    <w:rsid w:val="00C63340"/>
    <w:rsid w:val="00C643F9"/>
    <w:rsid w:val="00C64E95"/>
    <w:rsid w:val="00C71372"/>
    <w:rsid w:val="00C72410"/>
    <w:rsid w:val="00C7287F"/>
    <w:rsid w:val="00C805E3"/>
    <w:rsid w:val="00C80982"/>
    <w:rsid w:val="00C80CB8"/>
    <w:rsid w:val="00C819F8"/>
    <w:rsid w:val="00C8248C"/>
    <w:rsid w:val="00C84E33"/>
    <w:rsid w:val="00C86D6F"/>
    <w:rsid w:val="00C905FC"/>
    <w:rsid w:val="00C92D03"/>
    <w:rsid w:val="00C9319C"/>
    <w:rsid w:val="00C9435D"/>
    <w:rsid w:val="00C94DF2"/>
    <w:rsid w:val="00C95C34"/>
    <w:rsid w:val="00C96741"/>
    <w:rsid w:val="00CA2D1B"/>
    <w:rsid w:val="00CA375D"/>
    <w:rsid w:val="00CA662A"/>
    <w:rsid w:val="00CA7AFD"/>
    <w:rsid w:val="00CA7C3C"/>
    <w:rsid w:val="00CB0189"/>
    <w:rsid w:val="00CB0BA2"/>
    <w:rsid w:val="00CB1A42"/>
    <w:rsid w:val="00CB1B0C"/>
    <w:rsid w:val="00CB2C0B"/>
    <w:rsid w:val="00CB517D"/>
    <w:rsid w:val="00CB6DBF"/>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5679"/>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42D6"/>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19F"/>
    <w:rsid w:val="00DD54B0"/>
    <w:rsid w:val="00DD57EE"/>
    <w:rsid w:val="00DD6465"/>
    <w:rsid w:val="00DD6BCC"/>
    <w:rsid w:val="00DE0A4B"/>
    <w:rsid w:val="00DE2410"/>
    <w:rsid w:val="00DE2939"/>
    <w:rsid w:val="00DE6E81"/>
    <w:rsid w:val="00DE703F"/>
    <w:rsid w:val="00DE7595"/>
    <w:rsid w:val="00DF0283"/>
    <w:rsid w:val="00DF1961"/>
    <w:rsid w:val="00DF44DE"/>
    <w:rsid w:val="00DF5F11"/>
    <w:rsid w:val="00E01138"/>
    <w:rsid w:val="00E02DFB"/>
    <w:rsid w:val="00E030F9"/>
    <w:rsid w:val="00E0311A"/>
    <w:rsid w:val="00E03138"/>
    <w:rsid w:val="00E037AE"/>
    <w:rsid w:val="00E06404"/>
    <w:rsid w:val="00E065D2"/>
    <w:rsid w:val="00E11A85"/>
    <w:rsid w:val="00E12495"/>
    <w:rsid w:val="00E15CCD"/>
    <w:rsid w:val="00E202EF"/>
    <w:rsid w:val="00E210B5"/>
    <w:rsid w:val="00E23D99"/>
    <w:rsid w:val="00E2552F"/>
    <w:rsid w:val="00E30BBC"/>
    <w:rsid w:val="00E3137A"/>
    <w:rsid w:val="00E32CCF"/>
    <w:rsid w:val="00E34A98"/>
    <w:rsid w:val="00E35D1E"/>
    <w:rsid w:val="00E364F9"/>
    <w:rsid w:val="00E365FA"/>
    <w:rsid w:val="00E36789"/>
    <w:rsid w:val="00E44A83"/>
    <w:rsid w:val="00E502C1"/>
    <w:rsid w:val="00E502DD"/>
    <w:rsid w:val="00E50D3A"/>
    <w:rsid w:val="00E51387"/>
    <w:rsid w:val="00E514E7"/>
    <w:rsid w:val="00E51E68"/>
    <w:rsid w:val="00E52EFD"/>
    <w:rsid w:val="00E5408A"/>
    <w:rsid w:val="00E56800"/>
    <w:rsid w:val="00E60C63"/>
    <w:rsid w:val="00E62FF9"/>
    <w:rsid w:val="00E635D6"/>
    <w:rsid w:val="00E639BC"/>
    <w:rsid w:val="00E664CC"/>
    <w:rsid w:val="00E70388"/>
    <w:rsid w:val="00E70F92"/>
    <w:rsid w:val="00E74C54"/>
    <w:rsid w:val="00E77A03"/>
    <w:rsid w:val="00E80548"/>
    <w:rsid w:val="00E822E8"/>
    <w:rsid w:val="00E82554"/>
    <w:rsid w:val="00E82606"/>
    <w:rsid w:val="00E82FB9"/>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614F"/>
    <w:rsid w:val="00EB74DB"/>
    <w:rsid w:val="00EC23F3"/>
    <w:rsid w:val="00EC5359"/>
    <w:rsid w:val="00EC562A"/>
    <w:rsid w:val="00ED067A"/>
    <w:rsid w:val="00ED2B50"/>
    <w:rsid w:val="00EE0350"/>
    <w:rsid w:val="00EE0672"/>
    <w:rsid w:val="00EE0719"/>
    <w:rsid w:val="00EE0E80"/>
    <w:rsid w:val="00EE541B"/>
    <w:rsid w:val="00EE54A6"/>
    <w:rsid w:val="00EE613F"/>
    <w:rsid w:val="00EE7295"/>
    <w:rsid w:val="00EE7869"/>
    <w:rsid w:val="00EE7FAC"/>
    <w:rsid w:val="00EF054A"/>
    <w:rsid w:val="00EF13B5"/>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27B94"/>
    <w:rsid w:val="00F33817"/>
    <w:rsid w:val="00F420D5"/>
    <w:rsid w:val="00F451EA"/>
    <w:rsid w:val="00F45447"/>
    <w:rsid w:val="00F456C6"/>
    <w:rsid w:val="00F4577B"/>
    <w:rsid w:val="00F46496"/>
    <w:rsid w:val="00F474D0"/>
    <w:rsid w:val="00F50179"/>
    <w:rsid w:val="00F515EE"/>
    <w:rsid w:val="00F56511"/>
    <w:rsid w:val="00F6194E"/>
    <w:rsid w:val="00F623AC"/>
    <w:rsid w:val="00F634D7"/>
    <w:rsid w:val="00F6412A"/>
    <w:rsid w:val="00F65893"/>
    <w:rsid w:val="00F66A4A"/>
    <w:rsid w:val="00F71E22"/>
    <w:rsid w:val="00F72142"/>
    <w:rsid w:val="00F72AE7"/>
    <w:rsid w:val="00F81141"/>
    <w:rsid w:val="00F833BA"/>
    <w:rsid w:val="00F83D6A"/>
    <w:rsid w:val="00F84FD0"/>
    <w:rsid w:val="00F859A8"/>
    <w:rsid w:val="00F86D87"/>
    <w:rsid w:val="00F9108B"/>
    <w:rsid w:val="00F91349"/>
    <w:rsid w:val="00F93A8A"/>
    <w:rsid w:val="00F95248"/>
    <w:rsid w:val="00F956A9"/>
    <w:rsid w:val="00F963ED"/>
    <w:rsid w:val="00F966CF"/>
    <w:rsid w:val="00F96CAE"/>
    <w:rsid w:val="00F97C99"/>
    <w:rsid w:val="00FA14AD"/>
    <w:rsid w:val="00FA4DAC"/>
    <w:rsid w:val="00FA662D"/>
    <w:rsid w:val="00FA73B1"/>
    <w:rsid w:val="00FB0CB9"/>
    <w:rsid w:val="00FB231D"/>
    <w:rsid w:val="00FB45F1"/>
    <w:rsid w:val="00FB4A72"/>
    <w:rsid w:val="00FB54E8"/>
    <w:rsid w:val="00FB7054"/>
    <w:rsid w:val="00FC1645"/>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024CA0"/>
    <w:rsid w:val="12952227"/>
    <w:rsid w:val="21B93CE5"/>
    <w:rsid w:val="240A173D"/>
    <w:rsid w:val="245924D3"/>
    <w:rsid w:val="2B4F70BA"/>
    <w:rsid w:val="35D35373"/>
    <w:rsid w:val="406B3BF6"/>
    <w:rsid w:val="40B47447"/>
    <w:rsid w:val="43F33A3B"/>
    <w:rsid w:val="4D7E676B"/>
    <w:rsid w:val="4EB500E7"/>
    <w:rsid w:val="4F9C02DB"/>
    <w:rsid w:val="547B766F"/>
    <w:rsid w:val="548A2EBA"/>
    <w:rsid w:val="5E7C1A22"/>
    <w:rsid w:val="63C91D34"/>
    <w:rsid w:val="74544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uiPriority w:val="29"/>
    <w:rPr>
      <w:i/>
      <w:iCs/>
      <w:color w:val="000000"/>
      <w:kern w:val="2"/>
      <w:sz w:val="21"/>
      <w:szCs w:val="21"/>
    </w:rPr>
  </w:style>
  <w:style w:type="character" w:customStyle="1" w:styleId="48">
    <w:name w:val="标题 Char"/>
    <w:link w:val="25"/>
    <w:autoRedefine/>
    <w:uiPriority w:val="0"/>
    <w:rPr>
      <w:rFonts w:ascii="Arial" w:hAnsi="Arial" w:cs="Arial"/>
      <w:b/>
      <w:bCs/>
      <w:kern w:val="2"/>
      <w:sz w:val="32"/>
      <w:szCs w:val="32"/>
    </w:rPr>
  </w:style>
  <w:style w:type="paragraph" w:customStyle="1" w:styleId="49">
    <w:name w:val="标准标志"/>
    <w:next w:val="1"/>
    <w:autoRedefine/>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autoRedefine/>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autoRedefine/>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autoRedefine/>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autoRedefine/>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character" w:customStyle="1" w:styleId="230">
    <w:name w:val="段 Char"/>
    <w:link w:val="231"/>
    <w:qFormat/>
    <w:uiPriority w:val="0"/>
    <w:rPr>
      <w:rFonts w:ascii="宋体"/>
      <w:sz w:val="21"/>
    </w:rPr>
  </w:style>
  <w:style w:type="paragraph" w:customStyle="1" w:styleId="231">
    <w:name w:val="段"/>
    <w:link w:val="230"/>
    <w:autoRedefine/>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 w:type="paragraph" w:customStyle="1" w:styleId="232">
    <w:name w:val="一级条标题"/>
    <w:next w:val="231"/>
    <w:autoRedefine/>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二级条标题"/>
    <w:basedOn w:val="232"/>
    <w:next w:val="231"/>
    <w:autoRedefine/>
    <w:qFormat/>
    <w:uiPriority w:val="0"/>
    <w:pPr>
      <w:spacing w:before="50" w:after="50"/>
      <w:outlineLvl w:val="3"/>
    </w:pPr>
  </w:style>
  <w:style w:type="paragraph" w:customStyle="1" w:styleId="234">
    <w:name w:val="章标题"/>
    <w:next w:val="231"/>
    <w:autoRedefine/>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5">
    <w:name w:val="数字编号列项（二级）"/>
    <w:autoRedefine/>
    <w:qFormat/>
    <w:uiPriority w:val="0"/>
    <w:pPr>
      <w:numPr>
        <w:ilvl w:val="1"/>
        <w:numId w:val="32"/>
      </w:numPr>
      <w:jc w:val="both"/>
    </w:pPr>
    <w:rPr>
      <w:rFonts w:ascii="宋体" w:hAnsi="Times New Roman" w:eastAsia="宋体" w:cs="Times New Roman"/>
      <w:sz w:val="21"/>
      <w:lang w:val="en-US" w:eastAsia="zh-CN" w:bidi="ar-SA"/>
    </w:rPr>
  </w:style>
  <w:style w:type="paragraph" w:customStyle="1" w:styleId="236">
    <w:name w:val="字母编号列项（一级）"/>
    <w:autoRedefine/>
    <w:qFormat/>
    <w:uiPriority w:val="0"/>
    <w:pPr>
      <w:numPr>
        <w:ilvl w:val="0"/>
        <w:numId w:val="32"/>
      </w:numPr>
      <w:jc w:val="both"/>
    </w:pPr>
    <w:rPr>
      <w:rFonts w:ascii="宋体" w:hAnsi="Times New Roman" w:eastAsia="宋体" w:cs="Times New Roman"/>
      <w:sz w:val="21"/>
      <w:lang w:val="en-US" w:eastAsia="zh-CN" w:bidi="ar-SA"/>
    </w:rPr>
  </w:style>
  <w:style w:type="paragraph" w:customStyle="1" w:styleId="237">
    <w:name w:val="编号列项（三级）"/>
    <w:autoRedefine/>
    <w:qFormat/>
    <w:uiPriority w:val="0"/>
    <w:pPr>
      <w:numPr>
        <w:ilvl w:val="2"/>
        <w:numId w:val="32"/>
      </w:numPr>
    </w:pPr>
    <w:rPr>
      <w:rFonts w:ascii="宋体" w:hAnsi="Times New Roman" w:eastAsia="宋体" w:cs="Times New Roman"/>
      <w:sz w:val="21"/>
      <w:lang w:val="en-US" w:eastAsia="zh-CN" w:bidi="ar-SA"/>
    </w:rPr>
  </w:style>
  <w:style w:type="paragraph" w:customStyle="1" w:styleId="238">
    <w:name w:val="二级无"/>
    <w:basedOn w:val="233"/>
    <w:autoRedefine/>
    <w:qFormat/>
    <w:uiPriority w:val="0"/>
    <w:pPr>
      <w:numPr>
        <w:ilvl w:val="2"/>
        <w:numId w:val="23"/>
      </w:numPr>
      <w:spacing w:before="0" w:beforeLines="0" w:after="0" w:afterLines="0"/>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DADBDFE53C4438A845EA434189183A2"/>
        <w:style w:val=""/>
        <w:category>
          <w:name w:val="常规"/>
          <w:gallery w:val="placeholder"/>
        </w:category>
        <w:types>
          <w:type w:val="bbPlcHdr"/>
        </w:types>
        <w:behaviors>
          <w:behavior w:val="content"/>
        </w:behaviors>
        <w:description w:val=""/>
        <w:guid w:val="{175F580C-1E0F-4847-8752-E340F97D73B4}"/>
      </w:docPartPr>
      <w:docPartBody>
        <w:p>
          <w:pPr>
            <w:pStyle w:val="5"/>
          </w:pPr>
          <w:r>
            <w:rPr>
              <w:rStyle w:val="4"/>
              <w:rFonts w:hint="eastAsia"/>
            </w:rPr>
            <w:t>单击或点击此处输入文字。</w:t>
          </w:r>
        </w:p>
      </w:docPartBody>
    </w:docPart>
    <w:docPart>
      <w:docPartPr>
        <w:name w:val="D36DBB5123D641D4BA95876FBA3E648A"/>
        <w:style w:val=""/>
        <w:category>
          <w:name w:val="常规"/>
          <w:gallery w:val="placeholder"/>
        </w:category>
        <w:types>
          <w:type w:val="bbPlcHdr"/>
        </w:types>
        <w:behaviors>
          <w:behavior w:val="content"/>
        </w:behaviors>
        <w:description w:val=""/>
        <w:guid w:val="{4BDFD512-BA33-42F0-8F48-290270CE8DA3}"/>
      </w:docPartPr>
      <w:docPartBody>
        <w:p>
          <w:pPr>
            <w:pStyle w:val="6"/>
          </w:pPr>
          <w:r>
            <w:rPr>
              <w:rStyle w:val="4"/>
              <w:rFonts w:hint="eastAsia"/>
            </w:rPr>
            <w:t>选择一项。</w:t>
          </w:r>
        </w:p>
      </w:docPartBody>
    </w:docPart>
    <w:docPart>
      <w:docPartPr>
        <w:name w:val="5B9694EA45A845CBB83617D0A03F0873"/>
        <w:style w:val=""/>
        <w:category>
          <w:name w:val="常规"/>
          <w:gallery w:val="placeholder"/>
        </w:category>
        <w:types>
          <w:type w:val="bbPlcHdr"/>
        </w:types>
        <w:behaviors>
          <w:behavior w:val="content"/>
        </w:behaviors>
        <w:description w:val=""/>
        <w:guid w:val="{53794ED8-6711-437C-9505-475C12BA220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859"/>
    <w:rsid w:val="00052951"/>
    <w:rsid w:val="000D58FA"/>
    <w:rsid w:val="00102CD6"/>
    <w:rsid w:val="0017598A"/>
    <w:rsid w:val="00326DE4"/>
    <w:rsid w:val="00334A04"/>
    <w:rsid w:val="003842D6"/>
    <w:rsid w:val="00615648"/>
    <w:rsid w:val="00725344"/>
    <w:rsid w:val="007B6064"/>
    <w:rsid w:val="00910339"/>
    <w:rsid w:val="0092204F"/>
    <w:rsid w:val="00974947"/>
    <w:rsid w:val="009B033F"/>
    <w:rsid w:val="009B6606"/>
    <w:rsid w:val="00A3428A"/>
    <w:rsid w:val="00AB051F"/>
    <w:rsid w:val="00BA25CC"/>
    <w:rsid w:val="00BF7F23"/>
    <w:rsid w:val="00C7569E"/>
    <w:rsid w:val="00D52C74"/>
    <w:rsid w:val="00DD3B48"/>
    <w:rsid w:val="00DE1382"/>
    <w:rsid w:val="00ED5C99"/>
    <w:rsid w:val="00EF5A69"/>
    <w:rsid w:val="00F00E32"/>
    <w:rsid w:val="00F96BAA"/>
    <w:rsid w:val="00FE304C"/>
    <w:rsid w:val="00FE6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DADBDFE53C4438A845EA434189183A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36DBB5123D641D4BA95876FBA3E648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B9694EA45A845CBB83617D0A03F0873"/>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487EE6-3170-4CD4-A0CA-6FCDA3DA0D7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1031</Words>
  <Characters>5878</Characters>
  <Lines>48</Lines>
  <Paragraphs>13</Paragraphs>
  <TotalTime>15</TotalTime>
  <ScaleCrop>false</ScaleCrop>
  <LinksUpToDate>false</LinksUpToDate>
  <CharactersWithSpaces>6896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2024-03-22T00:51:00Z</dcterms:created>
  <dc:creator>胡海洋</dc:creator>
  <dc:description>&lt;config cover="true" show_menu="true" version="1.0.0" doctype="SDKXY"&gt;_x000d_
&lt;/config&gt;</dc:description>
  <cp:lastModifiedBy>mmme</cp:lastModifiedBy>
  <cp:lastPrinted>2024-04-01T13:58:00Z</cp:lastPrinted>
  <dcterms:modified xsi:type="dcterms:W3CDTF">2024-04-02T09:24:17Z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B0FFE7ACE74B4A2FA113727F62FAF1FC_13</vt:lpwstr>
  </property>
</Properties>
</file>